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30B" w:rsidRPr="006244EB" w:rsidRDefault="0039530B" w:rsidP="006244EB">
      <w:pPr>
        <w:pStyle w:val="ac"/>
        <w:ind w:firstLine="5954"/>
        <w:jc w:val="left"/>
        <w:rPr>
          <w:sz w:val="24"/>
        </w:rPr>
      </w:pPr>
      <w:r w:rsidRPr="006244EB">
        <w:rPr>
          <w:sz w:val="24"/>
        </w:rPr>
        <w:t>УТВЕРЖДЕН</w:t>
      </w:r>
    </w:p>
    <w:p w:rsidR="0039530B" w:rsidRPr="006244EB" w:rsidRDefault="0039530B" w:rsidP="006244EB">
      <w:pPr>
        <w:pStyle w:val="ac"/>
        <w:ind w:firstLine="5954"/>
        <w:jc w:val="left"/>
        <w:rPr>
          <w:sz w:val="24"/>
        </w:rPr>
      </w:pPr>
      <w:r w:rsidRPr="006244EB">
        <w:rPr>
          <w:sz w:val="24"/>
        </w:rPr>
        <w:t>Коллегией</w:t>
      </w:r>
    </w:p>
    <w:p w:rsidR="0039530B" w:rsidRPr="006244EB" w:rsidRDefault="0039530B" w:rsidP="006244EB">
      <w:pPr>
        <w:pStyle w:val="ac"/>
        <w:ind w:firstLine="5954"/>
        <w:jc w:val="left"/>
        <w:rPr>
          <w:sz w:val="24"/>
        </w:rPr>
      </w:pPr>
      <w:r w:rsidRPr="006244EB">
        <w:rPr>
          <w:sz w:val="24"/>
        </w:rPr>
        <w:t xml:space="preserve">Контрольно-счетной палаты </w:t>
      </w:r>
    </w:p>
    <w:p w:rsidR="0039530B" w:rsidRPr="006244EB" w:rsidRDefault="0039530B" w:rsidP="006244EB">
      <w:pPr>
        <w:pStyle w:val="ac"/>
        <w:ind w:firstLine="5954"/>
        <w:jc w:val="left"/>
        <w:rPr>
          <w:sz w:val="24"/>
        </w:rPr>
      </w:pPr>
      <w:r w:rsidRPr="006244EB">
        <w:rPr>
          <w:sz w:val="24"/>
        </w:rPr>
        <w:t>Мурманской области</w:t>
      </w:r>
    </w:p>
    <w:p w:rsidR="0039530B" w:rsidRPr="006244EB" w:rsidRDefault="0039530B" w:rsidP="006244EB">
      <w:pPr>
        <w:pStyle w:val="ac"/>
        <w:ind w:right="-143" w:firstLine="5954"/>
        <w:jc w:val="left"/>
        <w:rPr>
          <w:sz w:val="24"/>
        </w:rPr>
      </w:pPr>
      <w:r w:rsidRPr="003B7885">
        <w:rPr>
          <w:sz w:val="24"/>
        </w:rPr>
        <w:t>(протокол от 2</w:t>
      </w:r>
      <w:r w:rsidR="00841272">
        <w:rPr>
          <w:sz w:val="24"/>
        </w:rPr>
        <w:t>6</w:t>
      </w:r>
      <w:r w:rsidRPr="003B7885">
        <w:rPr>
          <w:sz w:val="24"/>
        </w:rPr>
        <w:t>.02.20</w:t>
      </w:r>
      <w:r w:rsidR="006244EB" w:rsidRPr="003B7885">
        <w:rPr>
          <w:sz w:val="24"/>
        </w:rPr>
        <w:t>20</w:t>
      </w:r>
      <w:r w:rsidRPr="003B7885">
        <w:rPr>
          <w:sz w:val="24"/>
        </w:rPr>
        <w:t xml:space="preserve"> № </w:t>
      </w:r>
      <w:r w:rsidR="001D7E44" w:rsidRPr="003B7885">
        <w:rPr>
          <w:sz w:val="24"/>
        </w:rPr>
        <w:t>0</w:t>
      </w:r>
      <w:r w:rsidR="003B7885">
        <w:rPr>
          <w:sz w:val="24"/>
        </w:rPr>
        <w:t>5</w:t>
      </w:r>
      <w:r w:rsidRPr="003B7885">
        <w:rPr>
          <w:sz w:val="24"/>
        </w:rPr>
        <w:t>)</w:t>
      </w:r>
      <w:r w:rsidRPr="006244EB">
        <w:rPr>
          <w:sz w:val="24"/>
        </w:rPr>
        <w:t xml:space="preserve"> </w:t>
      </w:r>
    </w:p>
    <w:p w:rsidR="0039530B" w:rsidRPr="006244EB" w:rsidRDefault="0039530B" w:rsidP="006244EB">
      <w:pPr>
        <w:pStyle w:val="ac"/>
        <w:ind w:firstLine="709"/>
        <w:rPr>
          <w:sz w:val="40"/>
          <w:szCs w:val="40"/>
        </w:rPr>
      </w:pPr>
    </w:p>
    <w:p w:rsidR="0039530B" w:rsidRPr="006244EB" w:rsidRDefault="0039530B" w:rsidP="006244EB">
      <w:pPr>
        <w:pStyle w:val="ac"/>
        <w:ind w:firstLine="709"/>
        <w:rPr>
          <w:sz w:val="40"/>
          <w:szCs w:val="40"/>
        </w:rPr>
      </w:pPr>
    </w:p>
    <w:p w:rsidR="0039530B" w:rsidRPr="006244EB" w:rsidRDefault="0039530B" w:rsidP="006244EB">
      <w:pPr>
        <w:pStyle w:val="ac"/>
        <w:ind w:firstLine="709"/>
        <w:rPr>
          <w:sz w:val="40"/>
          <w:szCs w:val="40"/>
        </w:rPr>
      </w:pPr>
    </w:p>
    <w:p w:rsidR="0039530B" w:rsidRPr="006244EB" w:rsidRDefault="0039530B" w:rsidP="006244EB">
      <w:pPr>
        <w:pStyle w:val="ac"/>
        <w:ind w:firstLine="709"/>
        <w:rPr>
          <w:sz w:val="40"/>
          <w:szCs w:val="40"/>
        </w:rPr>
      </w:pPr>
    </w:p>
    <w:p w:rsidR="0039530B" w:rsidRPr="006244EB" w:rsidRDefault="0039530B" w:rsidP="006244EB">
      <w:pPr>
        <w:pStyle w:val="ac"/>
        <w:ind w:firstLine="709"/>
        <w:rPr>
          <w:sz w:val="40"/>
          <w:szCs w:val="40"/>
        </w:rPr>
      </w:pPr>
    </w:p>
    <w:p w:rsidR="0039530B" w:rsidRPr="006244EB" w:rsidRDefault="0039530B" w:rsidP="006244EB">
      <w:pPr>
        <w:pStyle w:val="ac"/>
        <w:ind w:firstLine="709"/>
        <w:rPr>
          <w:color w:val="000000"/>
          <w:sz w:val="40"/>
          <w:szCs w:val="40"/>
        </w:rPr>
      </w:pPr>
      <w:r w:rsidRPr="006244EB">
        <w:rPr>
          <w:color w:val="000000"/>
          <w:sz w:val="40"/>
          <w:szCs w:val="40"/>
        </w:rPr>
        <w:t>ОТЧЕТ</w:t>
      </w:r>
    </w:p>
    <w:p w:rsidR="0039530B" w:rsidRPr="006244EB" w:rsidRDefault="0039530B" w:rsidP="006244EB">
      <w:pPr>
        <w:pStyle w:val="ac"/>
        <w:ind w:firstLine="709"/>
        <w:rPr>
          <w:sz w:val="40"/>
          <w:szCs w:val="40"/>
        </w:rPr>
      </w:pPr>
    </w:p>
    <w:p w:rsidR="0039530B" w:rsidRPr="006244EB" w:rsidRDefault="0039530B" w:rsidP="006244EB">
      <w:pPr>
        <w:pStyle w:val="ae"/>
        <w:ind w:firstLine="709"/>
        <w:jc w:val="center"/>
        <w:rPr>
          <w:b/>
          <w:sz w:val="36"/>
          <w:szCs w:val="36"/>
        </w:rPr>
      </w:pPr>
      <w:r w:rsidRPr="006244EB">
        <w:rPr>
          <w:b/>
          <w:sz w:val="36"/>
          <w:szCs w:val="36"/>
        </w:rPr>
        <w:t>о деятельности Контрольно-счетной палаты Мурманской области в 201</w:t>
      </w:r>
      <w:r w:rsidR="006244EB">
        <w:rPr>
          <w:b/>
          <w:sz w:val="36"/>
          <w:szCs w:val="36"/>
        </w:rPr>
        <w:t>9</w:t>
      </w:r>
      <w:r w:rsidRPr="006244EB">
        <w:rPr>
          <w:b/>
          <w:sz w:val="36"/>
          <w:szCs w:val="36"/>
        </w:rPr>
        <w:t xml:space="preserve"> году</w:t>
      </w:r>
    </w:p>
    <w:p w:rsidR="0039530B" w:rsidRPr="006244EB" w:rsidRDefault="0039530B" w:rsidP="006244EB">
      <w:pPr>
        <w:pStyle w:val="ac"/>
        <w:ind w:firstLine="709"/>
      </w:pPr>
    </w:p>
    <w:p w:rsidR="0039530B" w:rsidRPr="006244EB" w:rsidRDefault="0039530B" w:rsidP="006244EB">
      <w:pPr>
        <w:pStyle w:val="ac"/>
        <w:ind w:firstLine="709"/>
      </w:pPr>
    </w:p>
    <w:p w:rsidR="0039530B" w:rsidRPr="006244EB" w:rsidRDefault="0039530B" w:rsidP="006244EB">
      <w:pPr>
        <w:ind w:firstLine="709"/>
        <w:rPr>
          <w:rFonts w:ascii="Times New Roman" w:hAnsi="Times New Roman"/>
          <w:b/>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sz w:val="27"/>
          <w:szCs w:val="27"/>
        </w:rPr>
      </w:pPr>
    </w:p>
    <w:p w:rsidR="006B6491" w:rsidRPr="006244EB" w:rsidRDefault="006B6491" w:rsidP="006244EB">
      <w:pPr>
        <w:pStyle w:val="ac"/>
        <w:tabs>
          <w:tab w:val="center" w:pos="5173"/>
        </w:tabs>
        <w:ind w:firstLine="709"/>
        <w:rPr>
          <w:b w:val="0"/>
        </w:rPr>
      </w:pPr>
      <w:r w:rsidRPr="006244EB">
        <w:rPr>
          <w:b w:val="0"/>
        </w:rPr>
        <w:t>г. Мурманск</w:t>
      </w:r>
    </w:p>
    <w:p w:rsidR="0039530B" w:rsidRPr="006244EB" w:rsidRDefault="006B6491" w:rsidP="006244EB">
      <w:pPr>
        <w:pStyle w:val="ac"/>
        <w:tabs>
          <w:tab w:val="center" w:pos="5173"/>
        </w:tabs>
        <w:ind w:firstLine="709"/>
      </w:pPr>
      <w:r w:rsidRPr="006244EB">
        <w:rPr>
          <w:b w:val="0"/>
        </w:rPr>
        <w:t>20</w:t>
      </w:r>
      <w:r w:rsidR="006244EB">
        <w:rPr>
          <w:b w:val="0"/>
        </w:rPr>
        <w:t>20</w:t>
      </w:r>
      <w:r w:rsidRPr="006244EB">
        <w:rPr>
          <w:b w:val="0"/>
        </w:rPr>
        <w:t xml:space="preserve"> год</w:t>
      </w:r>
      <w:r w:rsidR="0039530B" w:rsidRPr="006244EB">
        <w:rPr>
          <w:b w:val="0"/>
          <w:sz w:val="27"/>
          <w:szCs w:val="27"/>
        </w:rPr>
        <w:br w:type="page"/>
      </w:r>
      <w:r w:rsidR="0039530B" w:rsidRPr="006244EB">
        <w:lastRenderedPageBreak/>
        <w:t>ОГЛАВЛЕНИЕ</w:t>
      </w:r>
    </w:p>
    <w:p w:rsidR="00F06F56" w:rsidRPr="006244EB" w:rsidRDefault="00F06F56" w:rsidP="006244EB">
      <w:pPr>
        <w:pStyle w:val="ac"/>
        <w:tabs>
          <w:tab w:val="center" w:pos="5173"/>
        </w:tabs>
        <w:ind w:firstLine="709"/>
      </w:pPr>
    </w:p>
    <w:tbl>
      <w:tblPr>
        <w:tblW w:w="10173" w:type="dxa"/>
        <w:tblLook w:val="01E0" w:firstRow="1" w:lastRow="1" w:firstColumn="1" w:lastColumn="1" w:noHBand="0" w:noVBand="0"/>
      </w:tblPr>
      <w:tblGrid>
        <w:gridCol w:w="9178"/>
        <w:gridCol w:w="995"/>
      </w:tblGrid>
      <w:tr w:rsidR="001356BF" w:rsidRPr="006244EB" w:rsidTr="00903D72">
        <w:trPr>
          <w:trHeight w:val="70"/>
        </w:trPr>
        <w:tc>
          <w:tcPr>
            <w:tcW w:w="9178" w:type="dxa"/>
            <w:shd w:val="clear" w:color="auto" w:fill="auto"/>
            <w:vAlign w:val="center"/>
          </w:tcPr>
          <w:p w:rsidR="001356BF" w:rsidRDefault="00FE4469" w:rsidP="006244EB">
            <w:pPr>
              <w:pStyle w:val="ac"/>
              <w:jc w:val="left"/>
              <w:rPr>
                <w:b w:val="0"/>
                <w:sz w:val="16"/>
                <w:szCs w:val="16"/>
              </w:rPr>
            </w:pPr>
            <w:r w:rsidRPr="006244EB">
              <w:rPr>
                <w:b w:val="0"/>
                <w:sz w:val="26"/>
                <w:szCs w:val="26"/>
                <w:lang w:val="en-US"/>
              </w:rPr>
              <w:t>I</w:t>
            </w:r>
            <w:r w:rsidR="001356BF" w:rsidRPr="006244EB">
              <w:rPr>
                <w:b w:val="0"/>
                <w:sz w:val="26"/>
                <w:szCs w:val="26"/>
              </w:rPr>
              <w:t>. Общие положения</w:t>
            </w:r>
          </w:p>
          <w:p w:rsidR="00BB277B" w:rsidRPr="00BB277B" w:rsidRDefault="00BB277B" w:rsidP="006244EB">
            <w:pPr>
              <w:pStyle w:val="ac"/>
              <w:jc w:val="left"/>
              <w:rPr>
                <w:b w:val="0"/>
                <w:sz w:val="16"/>
                <w:szCs w:val="16"/>
              </w:rPr>
            </w:pPr>
          </w:p>
        </w:tc>
        <w:tc>
          <w:tcPr>
            <w:tcW w:w="995" w:type="dxa"/>
            <w:shd w:val="clear" w:color="auto" w:fill="auto"/>
            <w:vAlign w:val="center"/>
          </w:tcPr>
          <w:p w:rsidR="001356BF" w:rsidRPr="000011AC" w:rsidRDefault="000011AC" w:rsidP="006244EB">
            <w:pPr>
              <w:pStyle w:val="ac"/>
              <w:ind w:firstLine="32"/>
              <w:rPr>
                <w:b w:val="0"/>
                <w:sz w:val="26"/>
                <w:szCs w:val="26"/>
                <w:lang w:val="en-US"/>
              </w:rPr>
            </w:pPr>
            <w:r>
              <w:rPr>
                <w:b w:val="0"/>
                <w:sz w:val="26"/>
                <w:szCs w:val="26"/>
                <w:lang w:val="en-US"/>
              </w:rPr>
              <w:t>3</w:t>
            </w:r>
          </w:p>
        </w:tc>
      </w:tr>
      <w:tr w:rsidR="00DC0A0C" w:rsidRPr="006244EB" w:rsidTr="00903D72">
        <w:trPr>
          <w:trHeight w:val="102"/>
        </w:trPr>
        <w:tc>
          <w:tcPr>
            <w:tcW w:w="9178" w:type="dxa"/>
            <w:shd w:val="clear" w:color="auto" w:fill="auto"/>
            <w:vAlign w:val="center"/>
          </w:tcPr>
          <w:p w:rsidR="00DC0A0C" w:rsidRDefault="0033140F" w:rsidP="006244EB">
            <w:pPr>
              <w:pStyle w:val="ac"/>
              <w:jc w:val="left"/>
              <w:rPr>
                <w:b w:val="0"/>
                <w:sz w:val="16"/>
                <w:szCs w:val="16"/>
              </w:rPr>
            </w:pPr>
            <w:r>
              <w:rPr>
                <w:b w:val="0"/>
                <w:sz w:val="26"/>
                <w:szCs w:val="26"/>
                <w:lang w:val="en-US"/>
              </w:rPr>
              <w:t>II</w:t>
            </w:r>
            <w:r w:rsidRPr="0033140F">
              <w:rPr>
                <w:b w:val="0"/>
                <w:sz w:val="26"/>
                <w:szCs w:val="26"/>
              </w:rPr>
              <w:t xml:space="preserve">. </w:t>
            </w:r>
            <w:r w:rsidR="00DC0A0C" w:rsidRPr="006244EB">
              <w:rPr>
                <w:b w:val="0"/>
                <w:sz w:val="26"/>
                <w:szCs w:val="26"/>
              </w:rPr>
              <w:t>Основные показатели деятельности Счетной палаты в отчетном периоде</w:t>
            </w:r>
          </w:p>
          <w:p w:rsidR="00BB277B" w:rsidRPr="00BB277B" w:rsidRDefault="00BB277B" w:rsidP="006244EB">
            <w:pPr>
              <w:pStyle w:val="ac"/>
              <w:jc w:val="left"/>
              <w:rPr>
                <w:b w:val="0"/>
                <w:sz w:val="16"/>
                <w:szCs w:val="16"/>
              </w:rPr>
            </w:pPr>
          </w:p>
        </w:tc>
        <w:tc>
          <w:tcPr>
            <w:tcW w:w="995" w:type="dxa"/>
            <w:shd w:val="clear" w:color="auto" w:fill="auto"/>
            <w:vAlign w:val="center"/>
          </w:tcPr>
          <w:p w:rsidR="00DC0A0C" w:rsidRPr="000011AC" w:rsidRDefault="000011AC" w:rsidP="006244EB">
            <w:pPr>
              <w:pStyle w:val="ac"/>
              <w:ind w:firstLine="32"/>
              <w:rPr>
                <w:b w:val="0"/>
                <w:sz w:val="26"/>
                <w:szCs w:val="26"/>
                <w:lang w:val="en-US"/>
              </w:rPr>
            </w:pPr>
            <w:r>
              <w:rPr>
                <w:b w:val="0"/>
                <w:sz w:val="26"/>
                <w:szCs w:val="26"/>
                <w:lang w:val="en-US"/>
              </w:rPr>
              <w:t>3</w:t>
            </w:r>
          </w:p>
        </w:tc>
      </w:tr>
      <w:tr w:rsidR="00DC0A0C" w:rsidRPr="006244EB" w:rsidTr="00903D72">
        <w:trPr>
          <w:trHeight w:val="419"/>
        </w:trPr>
        <w:tc>
          <w:tcPr>
            <w:tcW w:w="9178" w:type="dxa"/>
            <w:shd w:val="clear" w:color="auto" w:fill="auto"/>
            <w:vAlign w:val="center"/>
          </w:tcPr>
          <w:p w:rsidR="00DC0A0C" w:rsidRDefault="00DC0A0C" w:rsidP="006244EB">
            <w:pPr>
              <w:pStyle w:val="ac"/>
              <w:jc w:val="left"/>
              <w:rPr>
                <w:b w:val="0"/>
                <w:sz w:val="16"/>
                <w:szCs w:val="16"/>
              </w:rPr>
            </w:pPr>
            <w:r w:rsidRPr="006244EB">
              <w:rPr>
                <w:b w:val="0"/>
                <w:sz w:val="26"/>
                <w:szCs w:val="26"/>
                <w:lang w:val="en-US"/>
              </w:rPr>
              <w:t>I</w:t>
            </w:r>
            <w:r w:rsidR="0033140F">
              <w:rPr>
                <w:b w:val="0"/>
                <w:sz w:val="26"/>
                <w:szCs w:val="26"/>
                <w:lang w:val="en-US"/>
              </w:rPr>
              <w:t>I</w:t>
            </w:r>
            <w:r w:rsidRPr="006244EB">
              <w:rPr>
                <w:b w:val="0"/>
                <w:sz w:val="26"/>
                <w:szCs w:val="26"/>
                <w:lang w:val="en-US"/>
              </w:rPr>
              <w:t>I</w:t>
            </w:r>
            <w:r w:rsidRPr="006244EB">
              <w:rPr>
                <w:b w:val="0"/>
                <w:sz w:val="26"/>
                <w:szCs w:val="26"/>
              </w:rPr>
              <w:t>.  Итоги экспертно-аналитической деятельности</w:t>
            </w:r>
          </w:p>
          <w:p w:rsidR="00BB277B" w:rsidRPr="00BB277B" w:rsidRDefault="00BB277B" w:rsidP="006244EB">
            <w:pPr>
              <w:pStyle w:val="ac"/>
              <w:jc w:val="left"/>
              <w:rPr>
                <w:b w:val="0"/>
                <w:sz w:val="16"/>
                <w:szCs w:val="16"/>
              </w:rPr>
            </w:pPr>
          </w:p>
        </w:tc>
        <w:tc>
          <w:tcPr>
            <w:tcW w:w="995" w:type="dxa"/>
            <w:shd w:val="clear" w:color="auto" w:fill="auto"/>
            <w:vAlign w:val="center"/>
          </w:tcPr>
          <w:p w:rsidR="00DC0A0C" w:rsidRPr="000011AC" w:rsidRDefault="000011AC" w:rsidP="006244EB">
            <w:pPr>
              <w:pStyle w:val="ac"/>
              <w:ind w:firstLine="32"/>
              <w:rPr>
                <w:b w:val="0"/>
                <w:sz w:val="26"/>
                <w:szCs w:val="26"/>
                <w:lang w:val="en-US"/>
              </w:rPr>
            </w:pPr>
            <w:r>
              <w:rPr>
                <w:b w:val="0"/>
                <w:sz w:val="26"/>
                <w:szCs w:val="26"/>
                <w:lang w:val="en-US"/>
              </w:rPr>
              <w:t>8</w:t>
            </w:r>
          </w:p>
        </w:tc>
      </w:tr>
      <w:tr w:rsidR="00DC0A0C" w:rsidRPr="006244EB" w:rsidTr="00903D72">
        <w:trPr>
          <w:trHeight w:val="70"/>
        </w:trPr>
        <w:tc>
          <w:tcPr>
            <w:tcW w:w="9178" w:type="dxa"/>
            <w:shd w:val="clear" w:color="auto" w:fill="auto"/>
            <w:vAlign w:val="center"/>
          </w:tcPr>
          <w:p w:rsidR="00DC0A0C" w:rsidRPr="00BB277B" w:rsidRDefault="00BB277B" w:rsidP="00BB277B">
            <w:pPr>
              <w:pStyle w:val="ac"/>
              <w:jc w:val="both"/>
              <w:rPr>
                <w:b w:val="0"/>
                <w:sz w:val="26"/>
                <w:szCs w:val="26"/>
              </w:rPr>
            </w:pPr>
            <w:r>
              <w:rPr>
                <w:b w:val="0"/>
                <w:sz w:val="26"/>
                <w:szCs w:val="26"/>
              </w:rPr>
              <w:t>1.</w:t>
            </w:r>
            <w:r w:rsidR="00DC0A0C" w:rsidRPr="006244EB">
              <w:rPr>
                <w:b w:val="0"/>
                <w:sz w:val="26"/>
                <w:szCs w:val="26"/>
              </w:rPr>
              <w:t xml:space="preserve">Заключения на проекты законов Мурманской области об областном </w:t>
            </w:r>
            <w:proofErr w:type="gramStart"/>
            <w:r w:rsidR="00DC0A0C" w:rsidRPr="006244EB">
              <w:rPr>
                <w:b w:val="0"/>
                <w:sz w:val="26"/>
                <w:szCs w:val="26"/>
              </w:rPr>
              <w:t>бюджете  и</w:t>
            </w:r>
            <w:proofErr w:type="gramEnd"/>
            <w:r w:rsidR="00DC0A0C" w:rsidRPr="006244EB">
              <w:rPr>
                <w:b w:val="0"/>
                <w:sz w:val="26"/>
                <w:szCs w:val="26"/>
              </w:rPr>
              <w:t xml:space="preserve"> о бюджете Территориального фонда обязательного медицинского страхования Мурманской области</w:t>
            </w:r>
          </w:p>
          <w:p w:rsidR="00BB277B" w:rsidRPr="00BB277B" w:rsidRDefault="00BB277B" w:rsidP="00BB277B">
            <w:pPr>
              <w:pStyle w:val="ac"/>
              <w:ind w:left="360"/>
              <w:jc w:val="both"/>
              <w:rPr>
                <w:b w:val="0"/>
                <w:sz w:val="16"/>
                <w:szCs w:val="16"/>
              </w:rPr>
            </w:pPr>
          </w:p>
        </w:tc>
        <w:tc>
          <w:tcPr>
            <w:tcW w:w="995" w:type="dxa"/>
            <w:shd w:val="clear" w:color="auto" w:fill="auto"/>
            <w:vAlign w:val="center"/>
          </w:tcPr>
          <w:p w:rsidR="00DC0A0C" w:rsidRPr="000011AC" w:rsidRDefault="000011AC" w:rsidP="006244EB">
            <w:pPr>
              <w:pStyle w:val="ac"/>
              <w:ind w:firstLine="32"/>
              <w:rPr>
                <w:b w:val="0"/>
                <w:sz w:val="26"/>
                <w:szCs w:val="26"/>
                <w:lang w:val="en-US"/>
              </w:rPr>
            </w:pPr>
            <w:r>
              <w:rPr>
                <w:b w:val="0"/>
                <w:sz w:val="26"/>
                <w:szCs w:val="26"/>
                <w:lang w:val="en-US"/>
              </w:rPr>
              <w:t>9</w:t>
            </w:r>
          </w:p>
        </w:tc>
      </w:tr>
      <w:tr w:rsidR="00DC0A0C" w:rsidRPr="006244EB" w:rsidTr="00903D72">
        <w:trPr>
          <w:trHeight w:val="419"/>
        </w:trPr>
        <w:tc>
          <w:tcPr>
            <w:tcW w:w="9178" w:type="dxa"/>
            <w:shd w:val="clear" w:color="auto" w:fill="auto"/>
            <w:vAlign w:val="center"/>
          </w:tcPr>
          <w:p w:rsidR="00DC0A0C" w:rsidRDefault="00DC0A0C" w:rsidP="006244EB">
            <w:pPr>
              <w:pStyle w:val="ac"/>
              <w:jc w:val="both"/>
              <w:rPr>
                <w:b w:val="0"/>
                <w:sz w:val="16"/>
                <w:szCs w:val="16"/>
              </w:rPr>
            </w:pPr>
            <w:r w:rsidRPr="006244EB">
              <w:rPr>
                <w:b w:val="0"/>
                <w:sz w:val="26"/>
                <w:szCs w:val="26"/>
              </w:rPr>
              <w:t>2. Заключения по результатам внешних проверок отчетов об исполнении областного бюджета, бюджета Территориального фонда обязательного медицинского страхования Мурманской области, бюджетов муниципальных образований</w:t>
            </w:r>
          </w:p>
          <w:p w:rsidR="00BB277B" w:rsidRPr="00BB277B" w:rsidRDefault="00BB277B" w:rsidP="006244EB">
            <w:pPr>
              <w:pStyle w:val="ac"/>
              <w:jc w:val="both"/>
              <w:rPr>
                <w:b w:val="0"/>
                <w:sz w:val="16"/>
                <w:szCs w:val="16"/>
              </w:rPr>
            </w:pPr>
          </w:p>
        </w:tc>
        <w:tc>
          <w:tcPr>
            <w:tcW w:w="995" w:type="dxa"/>
            <w:shd w:val="clear" w:color="auto" w:fill="auto"/>
            <w:vAlign w:val="center"/>
          </w:tcPr>
          <w:p w:rsidR="00DC0A0C" w:rsidRPr="00AF7EC9" w:rsidRDefault="000011AC" w:rsidP="006244EB">
            <w:pPr>
              <w:pStyle w:val="ac"/>
              <w:ind w:firstLine="32"/>
              <w:rPr>
                <w:b w:val="0"/>
                <w:sz w:val="26"/>
                <w:szCs w:val="26"/>
              </w:rPr>
            </w:pPr>
            <w:r>
              <w:rPr>
                <w:b w:val="0"/>
                <w:sz w:val="26"/>
                <w:szCs w:val="26"/>
                <w:lang w:val="en-US"/>
              </w:rPr>
              <w:t>1</w:t>
            </w:r>
            <w:r w:rsidR="00AF7EC9">
              <w:rPr>
                <w:b w:val="0"/>
                <w:sz w:val="26"/>
                <w:szCs w:val="26"/>
              </w:rPr>
              <w:t>3</w:t>
            </w:r>
          </w:p>
        </w:tc>
      </w:tr>
      <w:tr w:rsidR="00DC0A0C" w:rsidRPr="006244EB" w:rsidTr="00903D72">
        <w:trPr>
          <w:trHeight w:val="52"/>
        </w:trPr>
        <w:tc>
          <w:tcPr>
            <w:tcW w:w="9178" w:type="dxa"/>
            <w:shd w:val="clear" w:color="auto" w:fill="auto"/>
            <w:vAlign w:val="center"/>
          </w:tcPr>
          <w:p w:rsidR="00DC0A0C" w:rsidRDefault="00DC0A0C" w:rsidP="006244EB">
            <w:pPr>
              <w:pStyle w:val="ac"/>
              <w:jc w:val="left"/>
              <w:rPr>
                <w:b w:val="0"/>
                <w:sz w:val="16"/>
                <w:szCs w:val="16"/>
              </w:rPr>
            </w:pPr>
            <w:r w:rsidRPr="006244EB">
              <w:rPr>
                <w:b w:val="0"/>
                <w:sz w:val="26"/>
                <w:szCs w:val="26"/>
              </w:rPr>
              <w:t>3. Экспертизы государственных программ Мурманской области</w:t>
            </w:r>
          </w:p>
          <w:p w:rsidR="00BB277B" w:rsidRPr="00BB277B" w:rsidRDefault="00BB277B" w:rsidP="006244EB">
            <w:pPr>
              <w:pStyle w:val="ac"/>
              <w:jc w:val="left"/>
              <w:rPr>
                <w:b w:val="0"/>
                <w:sz w:val="16"/>
                <w:szCs w:val="16"/>
              </w:rPr>
            </w:pPr>
          </w:p>
        </w:tc>
        <w:tc>
          <w:tcPr>
            <w:tcW w:w="995" w:type="dxa"/>
            <w:shd w:val="clear" w:color="auto" w:fill="auto"/>
            <w:vAlign w:val="center"/>
          </w:tcPr>
          <w:p w:rsidR="00DC0A0C" w:rsidRPr="00580DEB" w:rsidRDefault="000011AC" w:rsidP="006244EB">
            <w:pPr>
              <w:pStyle w:val="ac"/>
              <w:ind w:firstLine="32"/>
              <w:rPr>
                <w:b w:val="0"/>
                <w:sz w:val="26"/>
                <w:szCs w:val="26"/>
              </w:rPr>
            </w:pPr>
            <w:r>
              <w:rPr>
                <w:b w:val="0"/>
                <w:sz w:val="26"/>
                <w:szCs w:val="26"/>
                <w:lang w:val="en-US"/>
              </w:rPr>
              <w:t>1</w:t>
            </w:r>
            <w:r w:rsidR="00580DEB">
              <w:rPr>
                <w:b w:val="0"/>
                <w:sz w:val="26"/>
                <w:szCs w:val="26"/>
              </w:rPr>
              <w:t>4</w:t>
            </w:r>
          </w:p>
        </w:tc>
      </w:tr>
      <w:tr w:rsidR="00DC0A0C" w:rsidRPr="006244EB" w:rsidTr="00903D72">
        <w:trPr>
          <w:trHeight w:val="419"/>
        </w:trPr>
        <w:tc>
          <w:tcPr>
            <w:tcW w:w="9178" w:type="dxa"/>
            <w:shd w:val="clear" w:color="auto" w:fill="auto"/>
            <w:vAlign w:val="center"/>
          </w:tcPr>
          <w:p w:rsidR="00DC0A0C" w:rsidRPr="003A06FE" w:rsidRDefault="00DC0A0C" w:rsidP="006244EB">
            <w:pPr>
              <w:pStyle w:val="ac"/>
              <w:jc w:val="left"/>
              <w:rPr>
                <w:b w:val="0"/>
                <w:sz w:val="16"/>
                <w:szCs w:val="16"/>
              </w:rPr>
            </w:pPr>
            <w:r w:rsidRPr="006244EB">
              <w:rPr>
                <w:b w:val="0"/>
                <w:sz w:val="26"/>
                <w:szCs w:val="26"/>
              </w:rPr>
              <w:t xml:space="preserve">4. Тематические </w:t>
            </w:r>
            <w:r w:rsidR="00F43088" w:rsidRPr="006244EB">
              <w:rPr>
                <w:b w:val="0"/>
                <w:sz w:val="26"/>
                <w:szCs w:val="26"/>
              </w:rPr>
              <w:t xml:space="preserve">экспертно-аналитические </w:t>
            </w:r>
            <w:r w:rsidRPr="006244EB">
              <w:rPr>
                <w:b w:val="0"/>
                <w:sz w:val="26"/>
                <w:szCs w:val="26"/>
              </w:rPr>
              <w:t>мероприятия</w:t>
            </w:r>
          </w:p>
          <w:p w:rsidR="00BB277B" w:rsidRPr="00BB277B" w:rsidRDefault="00BB277B" w:rsidP="006244EB">
            <w:pPr>
              <w:pStyle w:val="ac"/>
              <w:jc w:val="left"/>
              <w:rPr>
                <w:b w:val="0"/>
                <w:sz w:val="16"/>
                <w:szCs w:val="16"/>
              </w:rPr>
            </w:pPr>
          </w:p>
        </w:tc>
        <w:tc>
          <w:tcPr>
            <w:tcW w:w="995" w:type="dxa"/>
            <w:shd w:val="clear" w:color="auto" w:fill="auto"/>
            <w:vAlign w:val="center"/>
          </w:tcPr>
          <w:p w:rsidR="00DC0A0C" w:rsidRPr="00AF7EC9" w:rsidRDefault="000011AC" w:rsidP="006244EB">
            <w:pPr>
              <w:pStyle w:val="ac"/>
              <w:ind w:firstLine="32"/>
              <w:rPr>
                <w:b w:val="0"/>
                <w:sz w:val="26"/>
                <w:szCs w:val="26"/>
              </w:rPr>
            </w:pPr>
            <w:r>
              <w:rPr>
                <w:b w:val="0"/>
                <w:sz w:val="26"/>
                <w:szCs w:val="26"/>
                <w:lang w:val="en-US"/>
              </w:rPr>
              <w:t>1</w:t>
            </w:r>
            <w:r w:rsidR="00AF7EC9">
              <w:rPr>
                <w:b w:val="0"/>
                <w:sz w:val="26"/>
                <w:szCs w:val="26"/>
              </w:rPr>
              <w:t>5</w:t>
            </w:r>
          </w:p>
        </w:tc>
      </w:tr>
      <w:tr w:rsidR="00DC0A0C" w:rsidRPr="006244EB" w:rsidTr="00903D72">
        <w:trPr>
          <w:trHeight w:val="254"/>
        </w:trPr>
        <w:tc>
          <w:tcPr>
            <w:tcW w:w="9178" w:type="dxa"/>
            <w:shd w:val="clear" w:color="auto" w:fill="auto"/>
          </w:tcPr>
          <w:p w:rsidR="00DC0A0C" w:rsidRDefault="00DC0A0C" w:rsidP="006244EB">
            <w:pPr>
              <w:pStyle w:val="ac"/>
              <w:jc w:val="both"/>
              <w:rPr>
                <w:b w:val="0"/>
                <w:sz w:val="16"/>
                <w:szCs w:val="16"/>
              </w:rPr>
            </w:pPr>
            <w:r w:rsidRPr="006244EB">
              <w:rPr>
                <w:b w:val="0"/>
                <w:sz w:val="26"/>
                <w:szCs w:val="26"/>
                <w:lang w:val="en-US"/>
              </w:rPr>
              <w:t>I</w:t>
            </w:r>
            <w:r w:rsidR="0033140F">
              <w:rPr>
                <w:b w:val="0"/>
                <w:sz w:val="26"/>
                <w:szCs w:val="26"/>
                <w:lang w:val="en-US"/>
              </w:rPr>
              <w:t>V</w:t>
            </w:r>
            <w:r w:rsidRPr="006244EB">
              <w:rPr>
                <w:b w:val="0"/>
                <w:sz w:val="26"/>
                <w:szCs w:val="26"/>
              </w:rPr>
              <w:t>. Итоги контрольной деятельности</w:t>
            </w:r>
          </w:p>
          <w:p w:rsidR="00BB277B" w:rsidRPr="00BB277B" w:rsidRDefault="00BB277B" w:rsidP="006244EB">
            <w:pPr>
              <w:pStyle w:val="ac"/>
              <w:jc w:val="both"/>
              <w:rPr>
                <w:b w:val="0"/>
                <w:sz w:val="16"/>
                <w:szCs w:val="16"/>
              </w:rPr>
            </w:pPr>
          </w:p>
        </w:tc>
        <w:tc>
          <w:tcPr>
            <w:tcW w:w="995" w:type="dxa"/>
            <w:shd w:val="clear" w:color="auto" w:fill="auto"/>
            <w:vAlign w:val="center"/>
          </w:tcPr>
          <w:p w:rsidR="00DC0A0C" w:rsidRPr="00580DEB" w:rsidRDefault="000011AC" w:rsidP="006244EB">
            <w:pPr>
              <w:pStyle w:val="ac"/>
              <w:ind w:firstLine="32"/>
              <w:rPr>
                <w:b w:val="0"/>
                <w:sz w:val="26"/>
                <w:szCs w:val="26"/>
              </w:rPr>
            </w:pPr>
            <w:r>
              <w:rPr>
                <w:b w:val="0"/>
                <w:sz w:val="26"/>
                <w:szCs w:val="26"/>
                <w:lang w:val="en-US"/>
              </w:rPr>
              <w:t>3</w:t>
            </w:r>
            <w:r w:rsidR="00580DEB">
              <w:rPr>
                <w:b w:val="0"/>
                <w:sz w:val="26"/>
                <w:szCs w:val="26"/>
              </w:rPr>
              <w:t>0</w:t>
            </w:r>
          </w:p>
        </w:tc>
      </w:tr>
      <w:tr w:rsidR="00DC0A0C" w:rsidRPr="006244EB" w:rsidTr="00903D72">
        <w:trPr>
          <w:trHeight w:val="419"/>
        </w:trPr>
        <w:tc>
          <w:tcPr>
            <w:tcW w:w="9178" w:type="dxa"/>
            <w:shd w:val="clear" w:color="auto" w:fill="auto"/>
          </w:tcPr>
          <w:p w:rsidR="00DC0A0C" w:rsidRPr="00BB277B" w:rsidRDefault="00BB277B" w:rsidP="00BB277B">
            <w:pPr>
              <w:pStyle w:val="ac"/>
              <w:jc w:val="both"/>
              <w:rPr>
                <w:b w:val="0"/>
                <w:sz w:val="26"/>
                <w:szCs w:val="26"/>
              </w:rPr>
            </w:pPr>
            <w:r>
              <w:rPr>
                <w:b w:val="0"/>
                <w:sz w:val="26"/>
                <w:szCs w:val="26"/>
              </w:rPr>
              <w:t>1.</w:t>
            </w:r>
            <w:r w:rsidRPr="00BB277B">
              <w:rPr>
                <w:b w:val="0"/>
                <w:sz w:val="26"/>
                <w:szCs w:val="26"/>
              </w:rPr>
              <w:t>Основные итоги проверок деятельности главных администраторов доходов областного бюджета по обеспечению поступлений в областной бюджет неналоговых доходов</w:t>
            </w:r>
          </w:p>
          <w:p w:rsidR="00BB277B" w:rsidRPr="00BB277B" w:rsidRDefault="00BB277B" w:rsidP="00BB277B">
            <w:pPr>
              <w:pStyle w:val="ac"/>
              <w:ind w:left="720"/>
              <w:jc w:val="both"/>
              <w:rPr>
                <w:b w:val="0"/>
                <w:sz w:val="16"/>
                <w:szCs w:val="16"/>
              </w:rPr>
            </w:pPr>
          </w:p>
        </w:tc>
        <w:tc>
          <w:tcPr>
            <w:tcW w:w="995" w:type="dxa"/>
            <w:shd w:val="clear" w:color="auto" w:fill="auto"/>
            <w:vAlign w:val="center"/>
          </w:tcPr>
          <w:p w:rsidR="00DC0A0C" w:rsidRPr="000011AC" w:rsidRDefault="00BB277B" w:rsidP="006244EB">
            <w:pPr>
              <w:pStyle w:val="ac"/>
              <w:ind w:firstLine="32"/>
              <w:rPr>
                <w:b w:val="0"/>
                <w:sz w:val="26"/>
                <w:szCs w:val="26"/>
                <w:lang w:val="en-US"/>
              </w:rPr>
            </w:pPr>
            <w:r>
              <w:rPr>
                <w:b w:val="0"/>
                <w:sz w:val="26"/>
                <w:szCs w:val="26"/>
              </w:rPr>
              <w:t>3</w:t>
            </w:r>
            <w:r w:rsidR="00580DEB">
              <w:rPr>
                <w:b w:val="0"/>
                <w:sz w:val="26"/>
                <w:szCs w:val="26"/>
              </w:rPr>
              <w:t>0</w:t>
            </w:r>
          </w:p>
        </w:tc>
      </w:tr>
      <w:tr w:rsidR="00DC0A0C" w:rsidRPr="006244EB" w:rsidTr="00903D72">
        <w:trPr>
          <w:trHeight w:val="50"/>
        </w:trPr>
        <w:tc>
          <w:tcPr>
            <w:tcW w:w="9178" w:type="dxa"/>
            <w:shd w:val="clear" w:color="auto" w:fill="auto"/>
          </w:tcPr>
          <w:p w:rsidR="00DC0A0C" w:rsidRPr="006244EB" w:rsidRDefault="00DC0A0C" w:rsidP="006244EB">
            <w:pPr>
              <w:pStyle w:val="ac"/>
              <w:jc w:val="both"/>
              <w:rPr>
                <w:b w:val="0"/>
                <w:sz w:val="26"/>
                <w:szCs w:val="26"/>
              </w:rPr>
            </w:pPr>
            <w:r w:rsidRPr="006244EB">
              <w:rPr>
                <w:b w:val="0"/>
                <w:sz w:val="26"/>
                <w:szCs w:val="26"/>
              </w:rPr>
              <w:t>2. </w:t>
            </w:r>
            <w:r w:rsidR="00982DEC" w:rsidRPr="00982DEC">
              <w:rPr>
                <w:b w:val="0"/>
                <w:sz w:val="26"/>
                <w:szCs w:val="26"/>
              </w:rPr>
              <w:t>Основные итоги проверок порядка управления (распоряжения) и эффективности использования имущества Мурманской области</w:t>
            </w:r>
            <w:r w:rsidRPr="006244EB">
              <w:rPr>
                <w:b w:val="0"/>
                <w:sz w:val="26"/>
                <w:szCs w:val="26"/>
              </w:rPr>
              <w:t xml:space="preserve"> </w:t>
            </w:r>
          </w:p>
        </w:tc>
        <w:tc>
          <w:tcPr>
            <w:tcW w:w="995" w:type="dxa"/>
            <w:shd w:val="clear" w:color="auto" w:fill="auto"/>
            <w:vAlign w:val="center"/>
          </w:tcPr>
          <w:p w:rsidR="00DC0A0C" w:rsidRPr="000011AC" w:rsidRDefault="00982DEC" w:rsidP="006244EB">
            <w:pPr>
              <w:pStyle w:val="ac"/>
              <w:ind w:firstLine="32"/>
              <w:rPr>
                <w:b w:val="0"/>
                <w:sz w:val="16"/>
                <w:szCs w:val="16"/>
                <w:lang w:val="en-US"/>
              </w:rPr>
            </w:pPr>
            <w:r>
              <w:rPr>
                <w:b w:val="0"/>
                <w:sz w:val="26"/>
                <w:szCs w:val="26"/>
              </w:rPr>
              <w:t>3</w:t>
            </w:r>
            <w:r w:rsidR="00AF7EC9">
              <w:rPr>
                <w:b w:val="0"/>
                <w:sz w:val="26"/>
                <w:szCs w:val="26"/>
              </w:rPr>
              <w:t>2</w:t>
            </w:r>
          </w:p>
          <w:p w:rsidR="00982DEC" w:rsidRDefault="00982DEC" w:rsidP="006244EB">
            <w:pPr>
              <w:pStyle w:val="ac"/>
              <w:ind w:firstLine="32"/>
              <w:rPr>
                <w:b w:val="0"/>
                <w:sz w:val="16"/>
                <w:szCs w:val="16"/>
              </w:rPr>
            </w:pPr>
          </w:p>
          <w:p w:rsidR="00982DEC" w:rsidRDefault="00982DEC" w:rsidP="006244EB">
            <w:pPr>
              <w:pStyle w:val="ac"/>
              <w:ind w:firstLine="32"/>
              <w:rPr>
                <w:b w:val="0"/>
                <w:sz w:val="16"/>
                <w:szCs w:val="16"/>
              </w:rPr>
            </w:pPr>
          </w:p>
          <w:p w:rsidR="00982DEC" w:rsidRPr="00982DEC" w:rsidRDefault="00982DEC" w:rsidP="006244EB">
            <w:pPr>
              <w:pStyle w:val="ac"/>
              <w:ind w:firstLine="32"/>
              <w:rPr>
                <w:b w:val="0"/>
                <w:sz w:val="16"/>
                <w:szCs w:val="16"/>
              </w:rPr>
            </w:pPr>
          </w:p>
        </w:tc>
      </w:tr>
      <w:tr w:rsidR="00DC0A0C" w:rsidRPr="006244EB" w:rsidTr="00903D72">
        <w:trPr>
          <w:trHeight w:val="328"/>
        </w:trPr>
        <w:tc>
          <w:tcPr>
            <w:tcW w:w="9178" w:type="dxa"/>
            <w:shd w:val="clear" w:color="auto" w:fill="auto"/>
          </w:tcPr>
          <w:p w:rsidR="00DC0A0C" w:rsidRDefault="00DC0A0C" w:rsidP="006244EB">
            <w:pPr>
              <w:pStyle w:val="ac"/>
              <w:jc w:val="both"/>
              <w:rPr>
                <w:b w:val="0"/>
                <w:sz w:val="16"/>
                <w:szCs w:val="16"/>
              </w:rPr>
            </w:pPr>
            <w:r w:rsidRPr="006244EB">
              <w:rPr>
                <w:b w:val="0"/>
                <w:sz w:val="26"/>
                <w:szCs w:val="26"/>
              </w:rPr>
              <w:t xml:space="preserve">3. </w:t>
            </w:r>
            <w:r w:rsidR="00133FD2" w:rsidRPr="00133FD2">
              <w:rPr>
                <w:b w:val="0"/>
                <w:sz w:val="26"/>
                <w:szCs w:val="26"/>
              </w:rPr>
              <w:t>Основные результаты проверок соблюдения законодательства при использовании бюджетных средств, выделяемых на обеспечение исполнения функций государственных органов, на финансовое обеспечение деятельности государственных учреждений и иных некоммерческих организаций</w:t>
            </w:r>
          </w:p>
          <w:p w:rsidR="000011AC" w:rsidRPr="000011AC" w:rsidRDefault="000011AC" w:rsidP="006244EB">
            <w:pPr>
              <w:pStyle w:val="ac"/>
              <w:jc w:val="both"/>
              <w:rPr>
                <w:b w:val="0"/>
                <w:sz w:val="16"/>
                <w:szCs w:val="16"/>
              </w:rPr>
            </w:pPr>
          </w:p>
        </w:tc>
        <w:tc>
          <w:tcPr>
            <w:tcW w:w="995" w:type="dxa"/>
            <w:shd w:val="clear" w:color="auto" w:fill="auto"/>
            <w:vAlign w:val="center"/>
          </w:tcPr>
          <w:p w:rsidR="00DC0A0C" w:rsidRPr="000011AC" w:rsidRDefault="00133FD2" w:rsidP="006244EB">
            <w:pPr>
              <w:pStyle w:val="ac"/>
              <w:ind w:firstLine="32"/>
              <w:rPr>
                <w:b w:val="0"/>
                <w:sz w:val="26"/>
                <w:szCs w:val="26"/>
                <w:lang w:val="en-US"/>
              </w:rPr>
            </w:pPr>
            <w:r>
              <w:rPr>
                <w:b w:val="0"/>
                <w:sz w:val="26"/>
                <w:szCs w:val="26"/>
              </w:rPr>
              <w:t>3</w:t>
            </w:r>
            <w:r w:rsidR="00AF7EC9">
              <w:rPr>
                <w:b w:val="0"/>
                <w:sz w:val="26"/>
                <w:szCs w:val="26"/>
              </w:rPr>
              <w:t>4</w:t>
            </w:r>
          </w:p>
        </w:tc>
      </w:tr>
      <w:tr w:rsidR="00DC0A0C" w:rsidRPr="006244EB" w:rsidTr="00903D72">
        <w:trPr>
          <w:trHeight w:val="214"/>
        </w:trPr>
        <w:tc>
          <w:tcPr>
            <w:tcW w:w="9178" w:type="dxa"/>
            <w:shd w:val="clear" w:color="auto" w:fill="auto"/>
          </w:tcPr>
          <w:p w:rsidR="000011AC" w:rsidRDefault="00DC0A0C" w:rsidP="00515CFF">
            <w:pPr>
              <w:pStyle w:val="ac"/>
              <w:jc w:val="both"/>
              <w:rPr>
                <w:b w:val="0"/>
                <w:sz w:val="16"/>
                <w:szCs w:val="16"/>
              </w:rPr>
            </w:pPr>
            <w:r w:rsidRPr="006244EB">
              <w:rPr>
                <w:b w:val="0"/>
                <w:sz w:val="26"/>
                <w:szCs w:val="26"/>
              </w:rPr>
              <w:t xml:space="preserve">4. </w:t>
            </w:r>
            <w:r w:rsidR="00133FD2" w:rsidRPr="00133FD2">
              <w:rPr>
                <w:b w:val="0"/>
                <w:sz w:val="26"/>
                <w:szCs w:val="26"/>
              </w:rPr>
              <w:t xml:space="preserve">Основные результаты проверок использования средств областного бюджета, на реализацию отдельных мероприятий государственных программ </w:t>
            </w:r>
          </w:p>
          <w:p w:rsidR="00515CFF" w:rsidRPr="00515CFF" w:rsidRDefault="00515CFF" w:rsidP="00515CFF">
            <w:pPr>
              <w:pStyle w:val="ac"/>
              <w:jc w:val="both"/>
              <w:rPr>
                <w:b w:val="0"/>
                <w:sz w:val="16"/>
                <w:szCs w:val="16"/>
              </w:rPr>
            </w:pPr>
          </w:p>
        </w:tc>
        <w:tc>
          <w:tcPr>
            <w:tcW w:w="995" w:type="dxa"/>
            <w:shd w:val="clear" w:color="auto" w:fill="auto"/>
            <w:vAlign w:val="center"/>
          </w:tcPr>
          <w:p w:rsidR="00DC0A0C" w:rsidRPr="00580DEB" w:rsidRDefault="00580DEB" w:rsidP="006244EB">
            <w:pPr>
              <w:pStyle w:val="ac"/>
              <w:ind w:firstLine="32"/>
              <w:rPr>
                <w:b w:val="0"/>
                <w:sz w:val="26"/>
                <w:szCs w:val="26"/>
              </w:rPr>
            </w:pPr>
            <w:r>
              <w:rPr>
                <w:b w:val="0"/>
                <w:sz w:val="26"/>
                <w:szCs w:val="26"/>
              </w:rPr>
              <w:t>3</w:t>
            </w:r>
            <w:r w:rsidR="00193C04">
              <w:rPr>
                <w:b w:val="0"/>
                <w:sz w:val="26"/>
                <w:szCs w:val="26"/>
              </w:rPr>
              <w:t>8</w:t>
            </w:r>
          </w:p>
        </w:tc>
      </w:tr>
      <w:tr w:rsidR="00DC0A0C" w:rsidRPr="006244EB" w:rsidTr="00903D72">
        <w:trPr>
          <w:trHeight w:val="753"/>
        </w:trPr>
        <w:tc>
          <w:tcPr>
            <w:tcW w:w="9178" w:type="dxa"/>
            <w:shd w:val="clear" w:color="auto" w:fill="auto"/>
            <w:vAlign w:val="center"/>
          </w:tcPr>
          <w:p w:rsidR="00DC0A0C" w:rsidRPr="00406B97" w:rsidRDefault="00D175B5" w:rsidP="006244EB">
            <w:pPr>
              <w:pStyle w:val="ac"/>
              <w:jc w:val="both"/>
              <w:rPr>
                <w:b w:val="0"/>
                <w:sz w:val="16"/>
                <w:szCs w:val="16"/>
              </w:rPr>
            </w:pPr>
            <w:r w:rsidRPr="006244EB">
              <w:rPr>
                <w:b w:val="0"/>
                <w:sz w:val="26"/>
                <w:szCs w:val="26"/>
              </w:rPr>
              <w:t>5.</w:t>
            </w:r>
            <w:r w:rsidR="00133FD2" w:rsidRPr="00133FD2">
              <w:rPr>
                <w:b w:val="0"/>
                <w:sz w:val="26"/>
                <w:szCs w:val="26"/>
              </w:rPr>
              <w:t xml:space="preserve"> Основные результаты проверок использования средств областного бюджета в сфере социальной поддержки и социального обслуживания</w:t>
            </w:r>
          </w:p>
          <w:p w:rsidR="00515CFF" w:rsidRPr="00515CFF" w:rsidRDefault="00515CFF" w:rsidP="006244EB">
            <w:pPr>
              <w:pStyle w:val="ac"/>
              <w:jc w:val="both"/>
              <w:rPr>
                <w:b w:val="0"/>
                <w:sz w:val="16"/>
                <w:szCs w:val="16"/>
              </w:rPr>
            </w:pPr>
          </w:p>
        </w:tc>
        <w:tc>
          <w:tcPr>
            <w:tcW w:w="995" w:type="dxa"/>
            <w:shd w:val="clear" w:color="auto" w:fill="auto"/>
            <w:vAlign w:val="center"/>
          </w:tcPr>
          <w:p w:rsidR="00DC0A0C" w:rsidRPr="000011AC" w:rsidRDefault="00133FD2" w:rsidP="006244EB">
            <w:pPr>
              <w:pStyle w:val="ac"/>
              <w:ind w:firstLine="32"/>
              <w:rPr>
                <w:b w:val="0"/>
                <w:sz w:val="26"/>
                <w:szCs w:val="26"/>
                <w:lang w:val="en-US"/>
              </w:rPr>
            </w:pPr>
            <w:r>
              <w:rPr>
                <w:b w:val="0"/>
                <w:sz w:val="26"/>
                <w:szCs w:val="26"/>
              </w:rPr>
              <w:t>4</w:t>
            </w:r>
            <w:r w:rsidR="00193C04">
              <w:rPr>
                <w:b w:val="0"/>
                <w:sz w:val="26"/>
                <w:szCs w:val="26"/>
              </w:rPr>
              <w:t>1</w:t>
            </w:r>
          </w:p>
        </w:tc>
      </w:tr>
      <w:tr w:rsidR="00DC0A0C" w:rsidRPr="006244EB" w:rsidTr="00903D72">
        <w:trPr>
          <w:trHeight w:val="182"/>
        </w:trPr>
        <w:tc>
          <w:tcPr>
            <w:tcW w:w="9178" w:type="dxa"/>
            <w:shd w:val="clear" w:color="auto" w:fill="auto"/>
          </w:tcPr>
          <w:p w:rsidR="00DC0A0C" w:rsidRDefault="00B768AF" w:rsidP="006244EB">
            <w:pPr>
              <w:pStyle w:val="ac"/>
              <w:jc w:val="both"/>
              <w:rPr>
                <w:b w:val="0"/>
                <w:sz w:val="16"/>
                <w:szCs w:val="16"/>
              </w:rPr>
            </w:pPr>
            <w:r w:rsidRPr="00B768AF">
              <w:rPr>
                <w:b w:val="0"/>
                <w:sz w:val="26"/>
                <w:szCs w:val="26"/>
              </w:rPr>
              <w:t>6. Основные результаты проверок использования средств областного бюджета и бюджета ТФОМС в сфере здравоохранения</w:t>
            </w:r>
          </w:p>
          <w:p w:rsidR="00B768AF" w:rsidRPr="00B768AF" w:rsidRDefault="00B768AF" w:rsidP="006244EB">
            <w:pPr>
              <w:pStyle w:val="ac"/>
              <w:jc w:val="both"/>
              <w:rPr>
                <w:b w:val="0"/>
                <w:sz w:val="16"/>
                <w:szCs w:val="16"/>
              </w:rPr>
            </w:pPr>
          </w:p>
        </w:tc>
        <w:tc>
          <w:tcPr>
            <w:tcW w:w="995" w:type="dxa"/>
            <w:shd w:val="clear" w:color="auto" w:fill="auto"/>
            <w:vAlign w:val="center"/>
          </w:tcPr>
          <w:p w:rsidR="00DC0A0C" w:rsidRPr="000011AC" w:rsidRDefault="00B768AF" w:rsidP="006244EB">
            <w:pPr>
              <w:pStyle w:val="ac"/>
              <w:ind w:firstLine="32"/>
              <w:rPr>
                <w:b w:val="0"/>
                <w:sz w:val="26"/>
                <w:szCs w:val="26"/>
                <w:lang w:val="en-US"/>
              </w:rPr>
            </w:pPr>
            <w:r>
              <w:rPr>
                <w:b w:val="0"/>
                <w:sz w:val="26"/>
                <w:szCs w:val="26"/>
              </w:rPr>
              <w:t>4</w:t>
            </w:r>
            <w:r w:rsidR="00193C04">
              <w:rPr>
                <w:b w:val="0"/>
                <w:sz w:val="26"/>
                <w:szCs w:val="26"/>
              </w:rPr>
              <w:t>4</w:t>
            </w:r>
          </w:p>
        </w:tc>
      </w:tr>
      <w:tr w:rsidR="00DC0A0C" w:rsidRPr="006244EB" w:rsidTr="00903D72">
        <w:trPr>
          <w:trHeight w:val="419"/>
        </w:trPr>
        <w:tc>
          <w:tcPr>
            <w:tcW w:w="9178" w:type="dxa"/>
            <w:shd w:val="clear" w:color="auto" w:fill="auto"/>
          </w:tcPr>
          <w:p w:rsidR="00DC0A0C" w:rsidRDefault="00917F70" w:rsidP="006244EB">
            <w:pPr>
              <w:pStyle w:val="ac"/>
              <w:jc w:val="both"/>
              <w:rPr>
                <w:b w:val="0"/>
                <w:sz w:val="16"/>
                <w:szCs w:val="16"/>
              </w:rPr>
            </w:pPr>
            <w:r w:rsidRPr="00917F70">
              <w:rPr>
                <w:b w:val="0"/>
                <w:sz w:val="26"/>
                <w:szCs w:val="26"/>
              </w:rPr>
              <w:t>7. Основные результаты аудита эффективности</w:t>
            </w:r>
          </w:p>
          <w:p w:rsidR="000011AC" w:rsidRPr="000011AC" w:rsidRDefault="000011AC" w:rsidP="006244EB">
            <w:pPr>
              <w:pStyle w:val="ac"/>
              <w:jc w:val="both"/>
              <w:rPr>
                <w:b w:val="0"/>
                <w:sz w:val="16"/>
                <w:szCs w:val="16"/>
              </w:rPr>
            </w:pPr>
          </w:p>
        </w:tc>
        <w:tc>
          <w:tcPr>
            <w:tcW w:w="995" w:type="dxa"/>
            <w:shd w:val="clear" w:color="auto" w:fill="auto"/>
            <w:vAlign w:val="center"/>
          </w:tcPr>
          <w:p w:rsidR="00DC0A0C" w:rsidRPr="006244EB" w:rsidRDefault="00580DEB" w:rsidP="006244EB">
            <w:pPr>
              <w:pStyle w:val="ac"/>
              <w:ind w:firstLine="32"/>
              <w:rPr>
                <w:b w:val="0"/>
                <w:sz w:val="26"/>
                <w:szCs w:val="26"/>
              </w:rPr>
            </w:pPr>
            <w:r>
              <w:rPr>
                <w:b w:val="0"/>
                <w:sz w:val="26"/>
                <w:szCs w:val="26"/>
              </w:rPr>
              <w:t>4</w:t>
            </w:r>
            <w:r w:rsidR="00193C04">
              <w:rPr>
                <w:b w:val="0"/>
                <w:sz w:val="26"/>
                <w:szCs w:val="26"/>
              </w:rPr>
              <w:t>6</w:t>
            </w:r>
          </w:p>
        </w:tc>
      </w:tr>
      <w:tr w:rsidR="00DC0A0C" w:rsidRPr="006244EB" w:rsidTr="00903D72">
        <w:trPr>
          <w:trHeight w:val="163"/>
        </w:trPr>
        <w:tc>
          <w:tcPr>
            <w:tcW w:w="9178" w:type="dxa"/>
            <w:shd w:val="clear" w:color="auto" w:fill="auto"/>
          </w:tcPr>
          <w:p w:rsidR="00DC0A0C" w:rsidRDefault="008C6726" w:rsidP="006244EB">
            <w:pPr>
              <w:pStyle w:val="ac"/>
              <w:jc w:val="both"/>
              <w:rPr>
                <w:b w:val="0"/>
                <w:sz w:val="16"/>
                <w:szCs w:val="16"/>
              </w:rPr>
            </w:pPr>
            <w:r w:rsidRPr="006244EB">
              <w:rPr>
                <w:b w:val="0"/>
                <w:sz w:val="26"/>
                <w:szCs w:val="26"/>
                <w:lang w:val="en-US"/>
              </w:rPr>
              <w:t>V</w:t>
            </w:r>
            <w:r w:rsidRPr="006244EB">
              <w:rPr>
                <w:b w:val="0"/>
                <w:sz w:val="26"/>
                <w:szCs w:val="26"/>
              </w:rPr>
              <w:t>. Информационная и иная деятельность</w:t>
            </w:r>
          </w:p>
          <w:p w:rsidR="008C6726" w:rsidRPr="008C6726" w:rsidRDefault="008C6726" w:rsidP="006244EB">
            <w:pPr>
              <w:pStyle w:val="ac"/>
              <w:jc w:val="both"/>
              <w:rPr>
                <w:b w:val="0"/>
                <w:sz w:val="16"/>
                <w:szCs w:val="16"/>
              </w:rPr>
            </w:pPr>
          </w:p>
        </w:tc>
        <w:tc>
          <w:tcPr>
            <w:tcW w:w="995" w:type="dxa"/>
            <w:shd w:val="clear" w:color="auto" w:fill="auto"/>
            <w:vAlign w:val="center"/>
          </w:tcPr>
          <w:p w:rsidR="00DC0A0C" w:rsidRPr="000011AC" w:rsidRDefault="008C6726" w:rsidP="006244EB">
            <w:pPr>
              <w:pStyle w:val="ac"/>
              <w:ind w:firstLine="32"/>
              <w:rPr>
                <w:b w:val="0"/>
                <w:sz w:val="26"/>
                <w:szCs w:val="26"/>
                <w:lang w:val="en-US"/>
              </w:rPr>
            </w:pPr>
            <w:r>
              <w:rPr>
                <w:b w:val="0"/>
                <w:sz w:val="26"/>
                <w:szCs w:val="26"/>
              </w:rPr>
              <w:t>5</w:t>
            </w:r>
            <w:r w:rsidR="00580DEB">
              <w:rPr>
                <w:b w:val="0"/>
                <w:sz w:val="26"/>
                <w:szCs w:val="26"/>
              </w:rPr>
              <w:t>0</w:t>
            </w:r>
          </w:p>
        </w:tc>
      </w:tr>
      <w:tr w:rsidR="00DC0A0C" w:rsidRPr="006244EB" w:rsidTr="00903D72">
        <w:trPr>
          <w:trHeight w:val="419"/>
        </w:trPr>
        <w:tc>
          <w:tcPr>
            <w:tcW w:w="9178" w:type="dxa"/>
            <w:shd w:val="clear" w:color="auto" w:fill="auto"/>
          </w:tcPr>
          <w:p w:rsidR="00DC0A0C" w:rsidRPr="006244EB" w:rsidRDefault="008C6726" w:rsidP="006244EB">
            <w:pPr>
              <w:pStyle w:val="ac"/>
              <w:jc w:val="both"/>
              <w:rPr>
                <w:b w:val="0"/>
                <w:sz w:val="26"/>
                <w:szCs w:val="26"/>
              </w:rPr>
            </w:pPr>
            <w:r w:rsidRPr="006244EB">
              <w:rPr>
                <w:b w:val="0"/>
                <w:sz w:val="26"/>
                <w:szCs w:val="26"/>
                <w:lang w:val="en-US"/>
              </w:rPr>
              <w:t>V</w:t>
            </w:r>
            <w:r w:rsidR="0033140F">
              <w:rPr>
                <w:b w:val="0"/>
                <w:sz w:val="26"/>
                <w:szCs w:val="26"/>
                <w:lang w:val="en-US"/>
              </w:rPr>
              <w:t>I</w:t>
            </w:r>
            <w:r w:rsidRPr="006244EB">
              <w:rPr>
                <w:b w:val="0"/>
                <w:sz w:val="26"/>
                <w:szCs w:val="26"/>
              </w:rPr>
              <w:t>. Основные задачи в деятельности Счетной палаты</w:t>
            </w:r>
          </w:p>
        </w:tc>
        <w:tc>
          <w:tcPr>
            <w:tcW w:w="995" w:type="dxa"/>
            <w:shd w:val="clear" w:color="auto" w:fill="auto"/>
            <w:vAlign w:val="center"/>
          </w:tcPr>
          <w:p w:rsidR="00DC0A0C" w:rsidRPr="00AF2916" w:rsidRDefault="008C6726" w:rsidP="006244EB">
            <w:pPr>
              <w:pStyle w:val="ac"/>
              <w:ind w:firstLine="32"/>
              <w:rPr>
                <w:b w:val="0"/>
                <w:sz w:val="26"/>
                <w:szCs w:val="26"/>
                <w:lang w:val="en-US"/>
              </w:rPr>
            </w:pPr>
            <w:r>
              <w:rPr>
                <w:b w:val="0"/>
                <w:sz w:val="26"/>
                <w:szCs w:val="26"/>
              </w:rPr>
              <w:t>5</w:t>
            </w:r>
            <w:r w:rsidR="00193C04">
              <w:rPr>
                <w:b w:val="0"/>
                <w:sz w:val="26"/>
                <w:szCs w:val="26"/>
              </w:rPr>
              <w:t>2</w:t>
            </w:r>
          </w:p>
        </w:tc>
      </w:tr>
    </w:tbl>
    <w:p w:rsidR="0039530B" w:rsidRPr="004F2876" w:rsidRDefault="0039530B" w:rsidP="006244EB">
      <w:pPr>
        <w:spacing w:after="0" w:line="240" w:lineRule="auto"/>
        <w:ind w:firstLine="709"/>
        <w:jc w:val="center"/>
        <w:rPr>
          <w:rFonts w:ascii="Times New Roman" w:hAnsi="Times New Roman"/>
          <w:b/>
          <w:sz w:val="28"/>
          <w:szCs w:val="28"/>
        </w:rPr>
      </w:pPr>
      <w:r w:rsidRPr="006244EB">
        <w:rPr>
          <w:sz w:val="26"/>
          <w:szCs w:val="26"/>
        </w:rPr>
        <w:br w:type="page"/>
      </w:r>
      <w:r w:rsidR="00A25512" w:rsidRPr="004F2876">
        <w:rPr>
          <w:rFonts w:ascii="Times New Roman" w:hAnsi="Times New Roman"/>
          <w:b/>
          <w:sz w:val="28"/>
          <w:szCs w:val="28"/>
          <w:lang w:val="en-US"/>
        </w:rPr>
        <w:lastRenderedPageBreak/>
        <w:t>I</w:t>
      </w:r>
      <w:r w:rsidR="001B71B1" w:rsidRPr="004F2876">
        <w:rPr>
          <w:rFonts w:ascii="Times New Roman" w:hAnsi="Times New Roman"/>
          <w:b/>
          <w:sz w:val="28"/>
          <w:szCs w:val="28"/>
        </w:rPr>
        <w:t>.</w:t>
      </w:r>
      <w:r w:rsidR="00A25512" w:rsidRPr="0036754F">
        <w:rPr>
          <w:rFonts w:ascii="Times New Roman" w:hAnsi="Times New Roman"/>
          <w:b/>
          <w:sz w:val="28"/>
          <w:szCs w:val="28"/>
        </w:rPr>
        <w:t xml:space="preserve"> </w:t>
      </w:r>
      <w:r w:rsidRPr="004F2876">
        <w:rPr>
          <w:rFonts w:ascii="Times New Roman" w:hAnsi="Times New Roman"/>
          <w:b/>
          <w:sz w:val="28"/>
          <w:szCs w:val="28"/>
        </w:rPr>
        <w:t>Общие положения</w:t>
      </w:r>
    </w:p>
    <w:p w:rsidR="0039530B" w:rsidRPr="004F2876" w:rsidRDefault="0039530B" w:rsidP="006244EB">
      <w:pPr>
        <w:spacing w:after="0" w:line="120" w:lineRule="auto"/>
        <w:jc w:val="center"/>
        <w:rPr>
          <w:rFonts w:ascii="Times New Roman" w:hAnsi="Times New Roman"/>
          <w:b/>
          <w:sz w:val="28"/>
          <w:szCs w:val="28"/>
          <w:highlight w:val="yellow"/>
        </w:rPr>
      </w:pPr>
    </w:p>
    <w:p w:rsidR="0039530B" w:rsidRPr="004F2876" w:rsidRDefault="0039530B" w:rsidP="006244EB">
      <w:pPr>
        <w:spacing w:after="0" w:line="240" w:lineRule="auto"/>
        <w:ind w:firstLine="709"/>
        <w:jc w:val="both"/>
        <w:rPr>
          <w:rFonts w:ascii="Times New Roman" w:hAnsi="Times New Roman"/>
          <w:sz w:val="26"/>
          <w:szCs w:val="26"/>
        </w:rPr>
      </w:pPr>
      <w:r w:rsidRPr="004F2876">
        <w:rPr>
          <w:rFonts w:ascii="Times New Roman" w:hAnsi="Times New Roman"/>
          <w:sz w:val="26"/>
          <w:szCs w:val="26"/>
        </w:rPr>
        <w:t>В соответствии с положениями Закона Мурманской области от 17 сентября 2011 года № 1389-01-ЗМО «О Контрольно-счетной палате Мурманской области» (с изменениями</w:t>
      </w:r>
      <w:r w:rsidR="00D16F01" w:rsidRPr="004F2876">
        <w:rPr>
          <w:rFonts w:ascii="Times New Roman" w:hAnsi="Times New Roman"/>
          <w:sz w:val="26"/>
          <w:szCs w:val="26"/>
        </w:rPr>
        <w:t xml:space="preserve">, </w:t>
      </w:r>
      <w:r w:rsidRPr="004F2876">
        <w:rPr>
          <w:rFonts w:ascii="Times New Roman" w:hAnsi="Times New Roman"/>
          <w:sz w:val="26"/>
          <w:szCs w:val="26"/>
        </w:rPr>
        <w:t>далее - Закон Мурманской области «О Контрольно-счетной палате Мурманской области») Контрольно-счетная палата Мурманской области (далее – Счетная палата) является постоянно действующим органом внешнего государственного финансового контроля Мурманской области.</w:t>
      </w:r>
    </w:p>
    <w:p w:rsidR="0039530B" w:rsidRPr="008C3C3C" w:rsidRDefault="0039530B" w:rsidP="006244EB">
      <w:pPr>
        <w:spacing w:after="0" w:line="240" w:lineRule="auto"/>
        <w:ind w:firstLine="709"/>
        <w:jc w:val="both"/>
        <w:rPr>
          <w:rFonts w:ascii="Times New Roman" w:hAnsi="Times New Roman"/>
          <w:sz w:val="26"/>
          <w:szCs w:val="26"/>
        </w:rPr>
      </w:pPr>
      <w:r w:rsidRPr="008C3C3C">
        <w:rPr>
          <w:rFonts w:ascii="Times New Roman" w:hAnsi="Times New Roman"/>
          <w:sz w:val="26"/>
          <w:szCs w:val="26"/>
        </w:rPr>
        <w:t xml:space="preserve">Полномочия, принципы деятельности, формы осуществления контроля Счетной палаты определены Законом Мурманской области «О Контрольно-счетной палате Мурманской области» с учетом норм Бюджетного кодекса Российской Федерации (далее – Бюджетный кодекс РФ), Федерального закона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и иных законодательных актов. </w:t>
      </w:r>
    </w:p>
    <w:p w:rsidR="0039530B" w:rsidRPr="008C3C3C" w:rsidRDefault="0039530B" w:rsidP="006244EB">
      <w:pPr>
        <w:spacing w:after="0" w:line="240" w:lineRule="auto"/>
        <w:ind w:firstLine="709"/>
        <w:jc w:val="both"/>
        <w:rPr>
          <w:rFonts w:ascii="Times New Roman" w:hAnsi="Times New Roman"/>
          <w:sz w:val="26"/>
          <w:szCs w:val="26"/>
        </w:rPr>
      </w:pPr>
      <w:r w:rsidRPr="008C3C3C">
        <w:rPr>
          <w:rFonts w:ascii="Times New Roman" w:hAnsi="Times New Roman"/>
          <w:sz w:val="26"/>
          <w:szCs w:val="26"/>
        </w:rPr>
        <w:t xml:space="preserve">В соответствии с Законом Мурманской области «О Контрольно-счетной палате Мурманской области» Счетная палата осуществляет свою деятельность на основе планов, которые разрабатываются и утверждаются ею самостоятельно. Обязательному включению в план работы Счетной палаты подлежат поручения Мурманской областной Думы. </w:t>
      </w:r>
    </w:p>
    <w:p w:rsidR="0039530B" w:rsidRPr="008C3C3C" w:rsidRDefault="0039530B" w:rsidP="006244EB">
      <w:pPr>
        <w:spacing w:after="0" w:line="240" w:lineRule="auto"/>
        <w:ind w:firstLine="709"/>
        <w:jc w:val="both"/>
        <w:rPr>
          <w:rFonts w:ascii="Times New Roman" w:hAnsi="Times New Roman"/>
          <w:sz w:val="26"/>
          <w:szCs w:val="26"/>
        </w:rPr>
      </w:pPr>
      <w:r w:rsidRPr="008C3C3C">
        <w:rPr>
          <w:rFonts w:ascii="Times New Roman" w:hAnsi="Times New Roman"/>
          <w:sz w:val="26"/>
          <w:szCs w:val="26"/>
        </w:rPr>
        <w:t xml:space="preserve">Внешний государственный финансовый контроль осуществляется Счетной палатой в форме контрольных или экспертно-аналитических мероприятий с применением методов, предусмотренных Бюджетным кодексом РФ. При осуществлении полномочий по внешнему государственному финансовому контролю Счетная палата руководствуется Регламентом Счетной палаты и стандартами внешнего государственного финансового контроля. </w:t>
      </w:r>
    </w:p>
    <w:p w:rsidR="001F4154" w:rsidRPr="004F2876" w:rsidRDefault="0039530B" w:rsidP="006244EB">
      <w:pPr>
        <w:spacing w:after="0" w:line="240" w:lineRule="auto"/>
        <w:jc w:val="both"/>
        <w:rPr>
          <w:rFonts w:ascii="Times New Roman" w:hAnsi="Times New Roman"/>
          <w:b/>
          <w:sz w:val="26"/>
          <w:szCs w:val="26"/>
          <w:highlight w:val="yellow"/>
        </w:rPr>
      </w:pPr>
      <w:r w:rsidRPr="004F2876">
        <w:rPr>
          <w:rFonts w:ascii="Times New Roman" w:hAnsi="Times New Roman"/>
          <w:sz w:val="26"/>
          <w:szCs w:val="26"/>
          <w:highlight w:val="yellow"/>
        </w:rPr>
        <w:t xml:space="preserve"> </w:t>
      </w:r>
    </w:p>
    <w:p w:rsidR="00FE4469" w:rsidRPr="008C3C3C" w:rsidRDefault="000C0E65" w:rsidP="0060710A">
      <w:pPr>
        <w:spacing w:after="0" w:line="240" w:lineRule="auto"/>
        <w:jc w:val="center"/>
        <w:rPr>
          <w:rFonts w:ascii="Times New Roman" w:hAnsi="Times New Roman"/>
          <w:b/>
          <w:sz w:val="26"/>
          <w:szCs w:val="26"/>
        </w:rPr>
      </w:pPr>
      <w:r>
        <w:rPr>
          <w:rFonts w:ascii="Times New Roman" w:hAnsi="Times New Roman"/>
          <w:b/>
          <w:sz w:val="26"/>
          <w:szCs w:val="26"/>
          <w:lang w:val="en-US"/>
        </w:rPr>
        <w:t>II</w:t>
      </w:r>
      <w:r>
        <w:rPr>
          <w:rFonts w:ascii="Times New Roman" w:hAnsi="Times New Roman"/>
          <w:b/>
          <w:sz w:val="26"/>
          <w:szCs w:val="26"/>
        </w:rPr>
        <w:t xml:space="preserve">. </w:t>
      </w:r>
      <w:r w:rsidR="00FE4469" w:rsidRPr="008C3C3C">
        <w:rPr>
          <w:rFonts w:ascii="Times New Roman" w:hAnsi="Times New Roman"/>
          <w:b/>
          <w:sz w:val="26"/>
          <w:szCs w:val="26"/>
        </w:rPr>
        <w:t>Основные показатели деятельности Счетной палаты в отчетном периоде</w:t>
      </w:r>
    </w:p>
    <w:p w:rsidR="00FE4469" w:rsidRPr="004F2876" w:rsidRDefault="00FE4469" w:rsidP="006244EB">
      <w:pPr>
        <w:spacing w:after="0" w:line="240" w:lineRule="auto"/>
        <w:jc w:val="center"/>
        <w:rPr>
          <w:rFonts w:ascii="Times New Roman" w:hAnsi="Times New Roman"/>
          <w:b/>
          <w:sz w:val="16"/>
          <w:szCs w:val="16"/>
          <w:highlight w:val="yellow"/>
        </w:rPr>
      </w:pPr>
    </w:p>
    <w:p w:rsidR="00FE4469" w:rsidRPr="008C3C3C" w:rsidRDefault="00FE4469" w:rsidP="006244EB">
      <w:pPr>
        <w:spacing w:after="0" w:line="240" w:lineRule="auto"/>
        <w:ind w:firstLine="709"/>
        <w:jc w:val="both"/>
        <w:rPr>
          <w:rFonts w:ascii="Times New Roman" w:hAnsi="Times New Roman"/>
          <w:sz w:val="26"/>
          <w:szCs w:val="26"/>
        </w:rPr>
      </w:pPr>
      <w:r w:rsidRPr="008C3C3C">
        <w:rPr>
          <w:rFonts w:ascii="Times New Roman" w:hAnsi="Times New Roman"/>
          <w:b/>
          <w:sz w:val="26"/>
          <w:szCs w:val="26"/>
        </w:rPr>
        <w:t>1.</w:t>
      </w:r>
      <w:r w:rsidRPr="008C3C3C">
        <w:rPr>
          <w:rFonts w:ascii="Times New Roman" w:hAnsi="Times New Roman"/>
          <w:sz w:val="26"/>
          <w:szCs w:val="26"/>
        </w:rPr>
        <w:t xml:space="preserve"> В 201</w:t>
      </w:r>
      <w:r w:rsidR="008C3C3C" w:rsidRPr="008C3C3C">
        <w:rPr>
          <w:rFonts w:ascii="Times New Roman" w:hAnsi="Times New Roman"/>
          <w:sz w:val="26"/>
          <w:szCs w:val="26"/>
        </w:rPr>
        <w:t>9</w:t>
      </w:r>
      <w:r w:rsidRPr="008C3C3C">
        <w:rPr>
          <w:rFonts w:ascii="Times New Roman" w:hAnsi="Times New Roman"/>
          <w:sz w:val="26"/>
          <w:szCs w:val="26"/>
        </w:rPr>
        <w:t xml:space="preserve"> году Счетная палата реализовала свои полномочия на основе годового плана работы на 201</w:t>
      </w:r>
      <w:r w:rsidR="008C3C3C" w:rsidRPr="008C3C3C">
        <w:rPr>
          <w:rFonts w:ascii="Times New Roman" w:hAnsi="Times New Roman"/>
          <w:sz w:val="26"/>
          <w:szCs w:val="26"/>
        </w:rPr>
        <w:t>9</w:t>
      </w:r>
      <w:r w:rsidRPr="008C3C3C">
        <w:rPr>
          <w:rFonts w:ascii="Times New Roman" w:hAnsi="Times New Roman"/>
          <w:sz w:val="26"/>
          <w:szCs w:val="26"/>
        </w:rPr>
        <w:t xml:space="preserve"> год, утвержденного Коллегией Счетной палаты (протокол от 1</w:t>
      </w:r>
      <w:r w:rsidR="008C3C3C" w:rsidRPr="008C3C3C">
        <w:rPr>
          <w:rFonts w:ascii="Times New Roman" w:hAnsi="Times New Roman"/>
          <w:sz w:val="26"/>
          <w:szCs w:val="26"/>
        </w:rPr>
        <w:t>7</w:t>
      </w:r>
      <w:r w:rsidRPr="008C3C3C">
        <w:rPr>
          <w:rFonts w:ascii="Times New Roman" w:hAnsi="Times New Roman"/>
          <w:sz w:val="26"/>
          <w:szCs w:val="26"/>
        </w:rPr>
        <w:t xml:space="preserve"> декабря 201</w:t>
      </w:r>
      <w:r w:rsidR="008C3C3C" w:rsidRPr="008C3C3C">
        <w:rPr>
          <w:rFonts w:ascii="Times New Roman" w:hAnsi="Times New Roman"/>
          <w:sz w:val="26"/>
          <w:szCs w:val="26"/>
        </w:rPr>
        <w:t>8</w:t>
      </w:r>
      <w:r w:rsidRPr="008C3C3C">
        <w:rPr>
          <w:rFonts w:ascii="Times New Roman" w:hAnsi="Times New Roman"/>
          <w:sz w:val="26"/>
          <w:szCs w:val="26"/>
        </w:rPr>
        <w:t xml:space="preserve"> года № 3</w:t>
      </w:r>
      <w:r w:rsidR="008C3C3C" w:rsidRPr="008C3C3C">
        <w:rPr>
          <w:rFonts w:ascii="Times New Roman" w:hAnsi="Times New Roman"/>
          <w:sz w:val="26"/>
          <w:szCs w:val="26"/>
        </w:rPr>
        <w:t>0</w:t>
      </w:r>
      <w:r w:rsidRPr="008C3C3C">
        <w:rPr>
          <w:rFonts w:ascii="Times New Roman" w:hAnsi="Times New Roman"/>
          <w:sz w:val="26"/>
          <w:szCs w:val="26"/>
        </w:rPr>
        <w:t xml:space="preserve"> c изменениями; далее - План работы на 201</w:t>
      </w:r>
      <w:r w:rsidR="008C3C3C" w:rsidRPr="008C3C3C">
        <w:rPr>
          <w:rFonts w:ascii="Times New Roman" w:hAnsi="Times New Roman"/>
          <w:sz w:val="26"/>
          <w:szCs w:val="26"/>
        </w:rPr>
        <w:t>9</w:t>
      </w:r>
      <w:r w:rsidRPr="008C3C3C">
        <w:rPr>
          <w:rFonts w:ascii="Times New Roman" w:hAnsi="Times New Roman"/>
          <w:sz w:val="26"/>
          <w:szCs w:val="26"/>
        </w:rPr>
        <w:t xml:space="preserve"> год). </w:t>
      </w:r>
    </w:p>
    <w:p w:rsidR="000C0A96" w:rsidRPr="008C3C3C" w:rsidRDefault="000C0A96" w:rsidP="006244EB">
      <w:pPr>
        <w:spacing w:after="0" w:line="240" w:lineRule="auto"/>
        <w:ind w:firstLine="709"/>
        <w:jc w:val="both"/>
        <w:rPr>
          <w:rFonts w:ascii="Times New Roman" w:hAnsi="Times New Roman"/>
          <w:sz w:val="26"/>
          <w:szCs w:val="26"/>
        </w:rPr>
      </w:pPr>
      <w:r w:rsidRPr="008C3C3C">
        <w:rPr>
          <w:rFonts w:ascii="Times New Roman" w:hAnsi="Times New Roman"/>
          <w:sz w:val="26"/>
          <w:szCs w:val="26"/>
        </w:rPr>
        <w:t>Планом работы на 201</w:t>
      </w:r>
      <w:r w:rsidR="008C3C3C" w:rsidRPr="008C3C3C">
        <w:rPr>
          <w:rFonts w:ascii="Times New Roman" w:hAnsi="Times New Roman"/>
          <w:sz w:val="26"/>
          <w:szCs w:val="26"/>
        </w:rPr>
        <w:t>9</w:t>
      </w:r>
      <w:r w:rsidRPr="008C3C3C">
        <w:rPr>
          <w:rFonts w:ascii="Times New Roman" w:hAnsi="Times New Roman"/>
          <w:sz w:val="26"/>
          <w:szCs w:val="26"/>
        </w:rPr>
        <w:t xml:space="preserve"> год </w:t>
      </w:r>
      <w:r w:rsidR="00B6559F">
        <w:rPr>
          <w:rFonts w:ascii="Times New Roman" w:hAnsi="Times New Roman"/>
          <w:sz w:val="26"/>
          <w:szCs w:val="26"/>
        </w:rPr>
        <w:t xml:space="preserve">предусмотрено </w:t>
      </w:r>
      <w:r w:rsidR="0060710A">
        <w:rPr>
          <w:rFonts w:ascii="Times New Roman" w:hAnsi="Times New Roman"/>
          <w:sz w:val="26"/>
          <w:szCs w:val="26"/>
        </w:rPr>
        <w:t>проведение</w:t>
      </w:r>
      <w:r w:rsidRPr="008C3C3C">
        <w:rPr>
          <w:rFonts w:ascii="Times New Roman" w:hAnsi="Times New Roman"/>
          <w:sz w:val="26"/>
          <w:szCs w:val="26"/>
        </w:rPr>
        <w:t xml:space="preserve"> 4</w:t>
      </w:r>
      <w:r w:rsidR="00021115">
        <w:rPr>
          <w:rFonts w:ascii="Times New Roman" w:hAnsi="Times New Roman"/>
          <w:sz w:val="26"/>
          <w:szCs w:val="26"/>
        </w:rPr>
        <w:t>5</w:t>
      </w:r>
      <w:r w:rsidRPr="008C3C3C">
        <w:rPr>
          <w:rFonts w:ascii="Times New Roman" w:hAnsi="Times New Roman"/>
          <w:sz w:val="26"/>
          <w:szCs w:val="26"/>
        </w:rPr>
        <w:t xml:space="preserve"> мероприятий внешнего государственного финансового контроля (далее – мероприятия)</w:t>
      </w:r>
      <w:r w:rsidR="009E5B33" w:rsidRPr="008C3C3C">
        <w:rPr>
          <w:rFonts w:ascii="Times New Roman" w:hAnsi="Times New Roman"/>
          <w:sz w:val="26"/>
          <w:szCs w:val="26"/>
        </w:rPr>
        <w:t xml:space="preserve">, в том </w:t>
      </w:r>
      <w:r w:rsidR="009E5B33" w:rsidRPr="0036754F">
        <w:rPr>
          <w:rFonts w:ascii="Times New Roman" w:hAnsi="Times New Roman"/>
          <w:sz w:val="26"/>
          <w:szCs w:val="26"/>
        </w:rPr>
        <w:t>числе 1</w:t>
      </w:r>
      <w:r w:rsidR="008C3C3C" w:rsidRPr="0036754F">
        <w:rPr>
          <w:rFonts w:ascii="Times New Roman" w:hAnsi="Times New Roman"/>
          <w:sz w:val="26"/>
          <w:szCs w:val="26"/>
        </w:rPr>
        <w:t>3</w:t>
      </w:r>
      <w:r w:rsidR="009E5B33" w:rsidRPr="0036754F">
        <w:rPr>
          <w:rFonts w:ascii="Times New Roman" w:hAnsi="Times New Roman"/>
          <w:sz w:val="26"/>
          <w:szCs w:val="26"/>
        </w:rPr>
        <w:t xml:space="preserve"> контрольных, 3</w:t>
      </w:r>
      <w:r w:rsidR="0015279C">
        <w:rPr>
          <w:rFonts w:ascii="Times New Roman" w:hAnsi="Times New Roman"/>
          <w:sz w:val="26"/>
          <w:szCs w:val="26"/>
        </w:rPr>
        <w:t>2</w:t>
      </w:r>
      <w:r w:rsidR="009E5B33" w:rsidRPr="0036754F">
        <w:rPr>
          <w:rFonts w:ascii="Times New Roman" w:hAnsi="Times New Roman"/>
          <w:sz w:val="26"/>
          <w:szCs w:val="26"/>
        </w:rPr>
        <w:t xml:space="preserve"> экспертно-аналитических.</w:t>
      </w:r>
      <w:r w:rsidRPr="008C3C3C">
        <w:rPr>
          <w:rFonts w:ascii="Times New Roman" w:hAnsi="Times New Roman"/>
          <w:sz w:val="26"/>
          <w:szCs w:val="26"/>
        </w:rPr>
        <w:t xml:space="preserve"> </w:t>
      </w:r>
    </w:p>
    <w:p w:rsidR="00FE4469" w:rsidRPr="008C3C3C" w:rsidRDefault="000C0A96" w:rsidP="006244EB">
      <w:pPr>
        <w:spacing w:after="0" w:line="240" w:lineRule="auto"/>
        <w:ind w:firstLine="709"/>
        <w:jc w:val="both"/>
        <w:rPr>
          <w:rFonts w:ascii="Times New Roman" w:hAnsi="Times New Roman"/>
          <w:sz w:val="26"/>
          <w:szCs w:val="26"/>
        </w:rPr>
      </w:pPr>
      <w:r w:rsidRPr="008C3C3C">
        <w:rPr>
          <w:rFonts w:ascii="Times New Roman" w:hAnsi="Times New Roman"/>
          <w:sz w:val="26"/>
          <w:szCs w:val="26"/>
        </w:rPr>
        <w:t>Тематика мероприятий обусловлена:</w:t>
      </w:r>
      <w:r w:rsidR="00FE4469" w:rsidRPr="008C3C3C">
        <w:rPr>
          <w:rFonts w:ascii="Times New Roman" w:hAnsi="Times New Roman"/>
          <w:sz w:val="26"/>
          <w:szCs w:val="26"/>
        </w:rPr>
        <w:t xml:space="preserve"> </w:t>
      </w:r>
    </w:p>
    <w:p w:rsidR="00FE4469" w:rsidRPr="008A61F7" w:rsidRDefault="00FE4469" w:rsidP="006244EB">
      <w:pPr>
        <w:spacing w:after="0" w:line="240" w:lineRule="auto"/>
        <w:ind w:firstLine="709"/>
        <w:jc w:val="both"/>
        <w:rPr>
          <w:rFonts w:ascii="Times New Roman" w:hAnsi="Times New Roman"/>
          <w:sz w:val="26"/>
          <w:szCs w:val="26"/>
        </w:rPr>
      </w:pPr>
      <w:r w:rsidRPr="008A61F7">
        <w:rPr>
          <w:rFonts w:ascii="Times New Roman" w:hAnsi="Times New Roman"/>
          <w:sz w:val="26"/>
          <w:szCs w:val="26"/>
        </w:rPr>
        <w:sym w:font="Symbol" w:char="F0B7"/>
      </w:r>
      <w:r w:rsidRPr="008A61F7">
        <w:rPr>
          <w:rFonts w:ascii="Times New Roman" w:hAnsi="Times New Roman"/>
          <w:sz w:val="26"/>
          <w:szCs w:val="26"/>
        </w:rPr>
        <w:t xml:space="preserve"> поручениями Мурманской областной Думы</w:t>
      </w:r>
      <w:r w:rsidRPr="008A61F7">
        <w:rPr>
          <w:rFonts w:ascii="Times New Roman" w:hAnsi="Times New Roman"/>
          <w:sz w:val="26"/>
          <w:szCs w:val="26"/>
          <w:vertAlign w:val="superscript"/>
        </w:rPr>
        <w:footnoteReference w:id="1"/>
      </w:r>
      <w:r w:rsidRPr="008A61F7">
        <w:rPr>
          <w:rFonts w:ascii="Times New Roman" w:hAnsi="Times New Roman"/>
          <w:sz w:val="26"/>
          <w:szCs w:val="26"/>
        </w:rPr>
        <w:t xml:space="preserve"> (1</w:t>
      </w:r>
      <w:r w:rsidR="00EC50FD" w:rsidRPr="008A61F7">
        <w:rPr>
          <w:rFonts w:ascii="Times New Roman" w:hAnsi="Times New Roman"/>
          <w:sz w:val="26"/>
          <w:szCs w:val="26"/>
        </w:rPr>
        <w:t>3</w:t>
      </w:r>
      <w:r w:rsidRPr="008A61F7">
        <w:rPr>
          <w:rFonts w:ascii="Times New Roman" w:hAnsi="Times New Roman"/>
          <w:sz w:val="26"/>
          <w:szCs w:val="26"/>
        </w:rPr>
        <w:t xml:space="preserve"> мероприятий</w:t>
      </w:r>
      <w:r w:rsidR="008A61F7" w:rsidRPr="008A61F7">
        <w:rPr>
          <w:rFonts w:ascii="Times New Roman" w:hAnsi="Times New Roman"/>
          <w:sz w:val="26"/>
          <w:szCs w:val="26"/>
        </w:rPr>
        <w:t>, из них 7 контрольных и 6 экспертно-аналитических</w:t>
      </w:r>
      <w:r w:rsidRPr="008A61F7">
        <w:rPr>
          <w:rFonts w:ascii="Times New Roman" w:hAnsi="Times New Roman"/>
          <w:sz w:val="26"/>
          <w:szCs w:val="26"/>
        </w:rPr>
        <w:t>);</w:t>
      </w:r>
    </w:p>
    <w:p w:rsidR="000C0A96" w:rsidRPr="008A61F7" w:rsidRDefault="000C0A96" w:rsidP="006244EB">
      <w:pPr>
        <w:spacing w:after="0" w:line="240" w:lineRule="auto"/>
        <w:ind w:firstLine="709"/>
        <w:jc w:val="both"/>
        <w:rPr>
          <w:rFonts w:ascii="Times New Roman" w:hAnsi="Times New Roman"/>
          <w:sz w:val="26"/>
          <w:szCs w:val="26"/>
        </w:rPr>
      </w:pPr>
      <w:r w:rsidRPr="008A61F7">
        <w:rPr>
          <w:rFonts w:ascii="Times New Roman" w:hAnsi="Times New Roman"/>
          <w:sz w:val="26"/>
          <w:szCs w:val="26"/>
        </w:rPr>
        <w:sym w:font="Symbol" w:char="F0B7"/>
      </w:r>
      <w:r w:rsidRPr="008A61F7">
        <w:rPr>
          <w:rFonts w:ascii="Times New Roman" w:hAnsi="Times New Roman"/>
          <w:sz w:val="26"/>
          <w:szCs w:val="26"/>
        </w:rPr>
        <w:t xml:space="preserve"> непосредственными требованиями законодательства, включая</w:t>
      </w:r>
      <w:r w:rsidR="0060710A">
        <w:rPr>
          <w:rFonts w:ascii="Times New Roman" w:hAnsi="Times New Roman"/>
          <w:sz w:val="26"/>
          <w:szCs w:val="26"/>
        </w:rPr>
        <w:t>: проведение</w:t>
      </w:r>
      <w:r w:rsidRPr="008A61F7">
        <w:rPr>
          <w:rFonts w:ascii="Times New Roman" w:hAnsi="Times New Roman"/>
          <w:sz w:val="26"/>
          <w:szCs w:val="26"/>
        </w:rPr>
        <w:t xml:space="preserve"> экспертизы проектов законов об областном бюджете, </w:t>
      </w:r>
      <w:r w:rsidR="0060710A">
        <w:rPr>
          <w:rFonts w:ascii="Times New Roman" w:hAnsi="Times New Roman"/>
          <w:sz w:val="26"/>
          <w:szCs w:val="26"/>
        </w:rPr>
        <w:t xml:space="preserve">о </w:t>
      </w:r>
      <w:r w:rsidRPr="008A61F7">
        <w:rPr>
          <w:rFonts w:ascii="Times New Roman" w:hAnsi="Times New Roman"/>
          <w:sz w:val="26"/>
          <w:szCs w:val="26"/>
        </w:rPr>
        <w:t>бюджете Территориального фонда обязательного медицинского страхования Мурманской области (далее – ТФОМС), а также</w:t>
      </w:r>
      <w:r w:rsidR="0060710A">
        <w:rPr>
          <w:rFonts w:ascii="Times New Roman" w:hAnsi="Times New Roman"/>
          <w:sz w:val="26"/>
          <w:szCs w:val="26"/>
        </w:rPr>
        <w:t xml:space="preserve"> осуществление</w:t>
      </w:r>
      <w:r w:rsidRPr="008A61F7">
        <w:rPr>
          <w:rFonts w:ascii="Times New Roman" w:hAnsi="Times New Roman"/>
          <w:sz w:val="26"/>
          <w:szCs w:val="26"/>
        </w:rPr>
        <w:t xml:space="preserve"> внешни</w:t>
      </w:r>
      <w:r w:rsidR="0060710A">
        <w:rPr>
          <w:rFonts w:ascii="Times New Roman" w:hAnsi="Times New Roman"/>
          <w:sz w:val="26"/>
          <w:szCs w:val="26"/>
        </w:rPr>
        <w:t>х</w:t>
      </w:r>
      <w:r w:rsidRPr="008A61F7">
        <w:rPr>
          <w:rFonts w:ascii="Times New Roman" w:hAnsi="Times New Roman"/>
          <w:sz w:val="26"/>
          <w:szCs w:val="26"/>
        </w:rPr>
        <w:t xml:space="preserve"> провер</w:t>
      </w:r>
      <w:r w:rsidR="0060710A">
        <w:rPr>
          <w:rFonts w:ascii="Times New Roman" w:hAnsi="Times New Roman"/>
          <w:sz w:val="26"/>
          <w:szCs w:val="26"/>
        </w:rPr>
        <w:t>о</w:t>
      </w:r>
      <w:r w:rsidRPr="008A61F7">
        <w:rPr>
          <w:rFonts w:ascii="Times New Roman" w:hAnsi="Times New Roman"/>
          <w:sz w:val="26"/>
          <w:szCs w:val="26"/>
        </w:rPr>
        <w:t>к годовых отчетов об исполнении областного бюджета, бюджета ТФОМС и местных бюджетов (1</w:t>
      </w:r>
      <w:r w:rsidR="00B6559F">
        <w:rPr>
          <w:rFonts w:ascii="Times New Roman" w:hAnsi="Times New Roman"/>
          <w:sz w:val="26"/>
          <w:szCs w:val="26"/>
        </w:rPr>
        <w:t>3</w:t>
      </w:r>
      <w:r w:rsidRPr="008A61F7">
        <w:rPr>
          <w:rFonts w:ascii="Times New Roman" w:hAnsi="Times New Roman"/>
          <w:sz w:val="26"/>
          <w:szCs w:val="26"/>
        </w:rPr>
        <w:t xml:space="preserve"> мероприятий);</w:t>
      </w:r>
    </w:p>
    <w:p w:rsidR="00841272" w:rsidRDefault="00FE4469" w:rsidP="00D03C4E">
      <w:pPr>
        <w:spacing w:after="0" w:line="240" w:lineRule="auto"/>
        <w:ind w:left="708" w:firstLine="1"/>
        <w:jc w:val="both"/>
        <w:rPr>
          <w:rFonts w:ascii="Times New Roman" w:hAnsi="Times New Roman"/>
          <w:sz w:val="26"/>
          <w:szCs w:val="26"/>
        </w:rPr>
      </w:pPr>
      <w:r w:rsidRPr="008A61F7">
        <w:rPr>
          <w:rFonts w:ascii="Times New Roman" w:hAnsi="Times New Roman"/>
          <w:sz w:val="26"/>
          <w:szCs w:val="26"/>
        </w:rPr>
        <w:sym w:font="Symbol" w:char="F0B7"/>
      </w:r>
      <w:r w:rsidRPr="008A61F7">
        <w:rPr>
          <w:rFonts w:ascii="Times New Roman" w:hAnsi="Times New Roman"/>
          <w:sz w:val="26"/>
          <w:szCs w:val="26"/>
        </w:rPr>
        <w:t xml:space="preserve"> реализацией законодательно установленных полномочий (1</w:t>
      </w:r>
      <w:r w:rsidR="00B6559F">
        <w:rPr>
          <w:rFonts w:ascii="Times New Roman" w:hAnsi="Times New Roman"/>
          <w:sz w:val="26"/>
          <w:szCs w:val="26"/>
        </w:rPr>
        <w:t>9</w:t>
      </w:r>
      <w:r w:rsidRPr="008A61F7">
        <w:rPr>
          <w:rFonts w:ascii="Times New Roman" w:hAnsi="Times New Roman"/>
          <w:sz w:val="26"/>
          <w:szCs w:val="26"/>
        </w:rPr>
        <w:t xml:space="preserve"> мероприятий). </w:t>
      </w:r>
    </w:p>
    <w:p w:rsidR="00841272" w:rsidRDefault="00841272" w:rsidP="00D03C4E">
      <w:pPr>
        <w:spacing w:after="0" w:line="240" w:lineRule="auto"/>
        <w:ind w:left="708" w:firstLine="1"/>
        <w:jc w:val="both"/>
        <w:rPr>
          <w:rFonts w:ascii="Times New Roman" w:hAnsi="Times New Roman"/>
          <w:sz w:val="26"/>
          <w:szCs w:val="26"/>
        </w:rPr>
      </w:pPr>
    </w:p>
    <w:p w:rsidR="00932AE1" w:rsidRDefault="00932AE1" w:rsidP="00D03C4E">
      <w:pPr>
        <w:spacing w:after="0" w:line="240" w:lineRule="auto"/>
        <w:ind w:left="708" w:firstLine="1"/>
        <w:jc w:val="both"/>
        <w:rPr>
          <w:rFonts w:ascii="Times New Roman" w:hAnsi="Times New Roman"/>
          <w:sz w:val="26"/>
          <w:szCs w:val="26"/>
        </w:rPr>
      </w:pPr>
    </w:p>
    <w:p w:rsidR="00932AE1" w:rsidRDefault="00932AE1" w:rsidP="00D03C4E">
      <w:pPr>
        <w:spacing w:after="0" w:line="240" w:lineRule="auto"/>
        <w:ind w:left="708" w:firstLine="1"/>
        <w:jc w:val="both"/>
        <w:rPr>
          <w:rFonts w:ascii="Times New Roman" w:hAnsi="Times New Roman"/>
          <w:sz w:val="26"/>
          <w:szCs w:val="26"/>
        </w:rPr>
      </w:pPr>
    </w:p>
    <w:p w:rsidR="00FE4469" w:rsidRDefault="00FE4469" w:rsidP="00D03C4E">
      <w:pPr>
        <w:spacing w:after="0" w:line="240" w:lineRule="auto"/>
        <w:ind w:left="708" w:firstLine="1"/>
        <w:jc w:val="both"/>
        <w:rPr>
          <w:rFonts w:ascii="Times New Roman" w:hAnsi="Times New Roman"/>
          <w:sz w:val="26"/>
          <w:szCs w:val="26"/>
        </w:rPr>
      </w:pPr>
      <w:r w:rsidRPr="008A61F7">
        <w:rPr>
          <w:rFonts w:ascii="Times New Roman" w:hAnsi="Times New Roman"/>
          <w:sz w:val="26"/>
          <w:szCs w:val="26"/>
        </w:rPr>
        <w:lastRenderedPageBreak/>
        <w:t>Распределение представлено на диаграмме.</w:t>
      </w:r>
    </w:p>
    <w:p w:rsidR="00B6559F" w:rsidRDefault="00B6559F" w:rsidP="006244EB">
      <w:pPr>
        <w:spacing w:after="0" w:line="240" w:lineRule="auto"/>
        <w:ind w:firstLine="709"/>
        <w:jc w:val="both"/>
        <w:rPr>
          <w:rFonts w:ascii="Times New Roman" w:hAnsi="Times New Roman"/>
          <w:sz w:val="26"/>
          <w:szCs w:val="26"/>
        </w:rPr>
      </w:pPr>
    </w:p>
    <w:p w:rsidR="00B6559F" w:rsidRDefault="00220457" w:rsidP="006244EB">
      <w:pPr>
        <w:spacing w:after="0" w:line="240" w:lineRule="auto"/>
        <w:ind w:firstLine="709"/>
        <w:jc w:val="both"/>
        <w:rPr>
          <w:rFonts w:ascii="Times New Roman" w:hAnsi="Times New Roman"/>
          <w:sz w:val="26"/>
          <w:szCs w:val="26"/>
        </w:rPr>
      </w:pPr>
      <w:r>
        <w:rPr>
          <w:noProof/>
        </w:rPr>
        <w:drawing>
          <wp:inline distT="0" distB="0" distL="0" distR="0">
            <wp:extent cx="5125720" cy="2974694"/>
            <wp:effectExtent l="0" t="0" r="17780" b="1651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6559F" w:rsidRDefault="00B6559F" w:rsidP="006244EB">
      <w:pPr>
        <w:spacing w:after="0" w:line="240" w:lineRule="auto"/>
        <w:ind w:firstLine="709"/>
        <w:jc w:val="both"/>
        <w:rPr>
          <w:rFonts w:ascii="Times New Roman" w:hAnsi="Times New Roman"/>
          <w:sz w:val="26"/>
          <w:szCs w:val="26"/>
        </w:rPr>
      </w:pPr>
    </w:p>
    <w:p w:rsidR="00BE10B6" w:rsidRPr="00412920" w:rsidRDefault="00FE4469" w:rsidP="006244EB">
      <w:pPr>
        <w:spacing w:after="0" w:line="240" w:lineRule="auto"/>
        <w:ind w:firstLine="709"/>
        <w:jc w:val="both"/>
        <w:rPr>
          <w:rFonts w:ascii="Times New Roman" w:hAnsi="Times New Roman"/>
          <w:sz w:val="26"/>
          <w:szCs w:val="26"/>
        </w:rPr>
      </w:pPr>
      <w:r w:rsidRPr="00412920">
        <w:rPr>
          <w:rFonts w:ascii="Times New Roman" w:hAnsi="Times New Roman"/>
          <w:sz w:val="26"/>
          <w:szCs w:val="26"/>
        </w:rPr>
        <w:t xml:space="preserve">Наибольшую долю в составе </w:t>
      </w:r>
      <w:r w:rsidR="0060710A">
        <w:rPr>
          <w:rFonts w:ascii="Times New Roman" w:hAnsi="Times New Roman"/>
          <w:sz w:val="26"/>
          <w:szCs w:val="26"/>
        </w:rPr>
        <w:t>проведенных</w:t>
      </w:r>
      <w:r w:rsidRPr="00412920">
        <w:rPr>
          <w:rFonts w:ascii="Times New Roman" w:hAnsi="Times New Roman"/>
          <w:sz w:val="26"/>
          <w:szCs w:val="26"/>
        </w:rPr>
        <w:t xml:space="preserve"> 4</w:t>
      </w:r>
      <w:r w:rsidR="003D79DB">
        <w:rPr>
          <w:rFonts w:ascii="Times New Roman" w:hAnsi="Times New Roman"/>
          <w:sz w:val="26"/>
          <w:szCs w:val="26"/>
        </w:rPr>
        <w:t>5</w:t>
      </w:r>
      <w:r w:rsidRPr="00412920">
        <w:rPr>
          <w:rFonts w:ascii="Times New Roman" w:hAnsi="Times New Roman"/>
          <w:sz w:val="26"/>
          <w:szCs w:val="26"/>
        </w:rPr>
        <w:t xml:space="preserve"> мероприятий составляют экспертно-аналитические мероприятия </w:t>
      </w:r>
      <w:r w:rsidR="0015279C">
        <w:rPr>
          <w:rFonts w:ascii="Times New Roman" w:hAnsi="Times New Roman"/>
          <w:sz w:val="26"/>
          <w:szCs w:val="26"/>
        </w:rPr>
        <w:t>7</w:t>
      </w:r>
      <w:r w:rsidR="00AA65FF">
        <w:rPr>
          <w:rFonts w:ascii="Times New Roman" w:hAnsi="Times New Roman"/>
          <w:sz w:val="26"/>
          <w:szCs w:val="26"/>
        </w:rPr>
        <w:t>1</w:t>
      </w:r>
      <w:r w:rsidR="0015279C">
        <w:rPr>
          <w:rFonts w:ascii="Times New Roman" w:hAnsi="Times New Roman"/>
          <w:sz w:val="26"/>
          <w:szCs w:val="26"/>
        </w:rPr>
        <w:t>,</w:t>
      </w:r>
      <w:r w:rsidR="00AA65FF">
        <w:rPr>
          <w:rFonts w:ascii="Times New Roman" w:hAnsi="Times New Roman"/>
          <w:sz w:val="26"/>
          <w:szCs w:val="26"/>
        </w:rPr>
        <w:t>1</w:t>
      </w:r>
      <w:r w:rsidRPr="00412920">
        <w:rPr>
          <w:rFonts w:ascii="Times New Roman" w:hAnsi="Times New Roman"/>
          <w:sz w:val="26"/>
          <w:szCs w:val="26"/>
        </w:rPr>
        <w:t xml:space="preserve"> %</w:t>
      </w:r>
      <w:r w:rsidR="003C63C2" w:rsidRPr="00412920">
        <w:rPr>
          <w:rFonts w:ascii="Times New Roman" w:hAnsi="Times New Roman"/>
          <w:sz w:val="26"/>
          <w:szCs w:val="26"/>
        </w:rPr>
        <w:t xml:space="preserve"> (3</w:t>
      </w:r>
      <w:r w:rsidR="0015279C">
        <w:rPr>
          <w:rFonts w:ascii="Times New Roman" w:hAnsi="Times New Roman"/>
          <w:sz w:val="26"/>
          <w:szCs w:val="26"/>
        </w:rPr>
        <w:t>2</w:t>
      </w:r>
      <w:r w:rsidR="003C63C2" w:rsidRPr="00412920">
        <w:rPr>
          <w:rFonts w:ascii="Times New Roman" w:hAnsi="Times New Roman"/>
          <w:sz w:val="26"/>
          <w:szCs w:val="26"/>
        </w:rPr>
        <w:t xml:space="preserve"> мероприяти</w:t>
      </w:r>
      <w:r w:rsidR="0015279C">
        <w:rPr>
          <w:rFonts w:ascii="Times New Roman" w:hAnsi="Times New Roman"/>
          <w:sz w:val="26"/>
          <w:szCs w:val="26"/>
        </w:rPr>
        <w:t>я</w:t>
      </w:r>
      <w:r w:rsidR="003C63C2" w:rsidRPr="00412920">
        <w:rPr>
          <w:rFonts w:ascii="Times New Roman" w:hAnsi="Times New Roman"/>
          <w:sz w:val="26"/>
          <w:szCs w:val="26"/>
        </w:rPr>
        <w:t>)</w:t>
      </w:r>
      <w:r w:rsidRPr="00412920">
        <w:rPr>
          <w:rFonts w:ascii="Times New Roman" w:hAnsi="Times New Roman"/>
          <w:sz w:val="26"/>
          <w:szCs w:val="26"/>
        </w:rPr>
        <w:t xml:space="preserve">, </w:t>
      </w:r>
      <w:r w:rsidR="003C63C2" w:rsidRPr="00412920">
        <w:rPr>
          <w:rFonts w:ascii="Times New Roman" w:hAnsi="Times New Roman"/>
          <w:sz w:val="26"/>
          <w:szCs w:val="26"/>
        </w:rPr>
        <w:t xml:space="preserve">доля </w:t>
      </w:r>
      <w:r w:rsidRPr="00412920">
        <w:rPr>
          <w:rFonts w:ascii="Times New Roman" w:hAnsi="Times New Roman"/>
          <w:sz w:val="26"/>
          <w:szCs w:val="26"/>
        </w:rPr>
        <w:t xml:space="preserve">контрольных мероприятий соответственно </w:t>
      </w:r>
      <w:r w:rsidR="003C63C2" w:rsidRPr="00412920">
        <w:rPr>
          <w:rFonts w:ascii="Times New Roman" w:hAnsi="Times New Roman"/>
          <w:sz w:val="26"/>
          <w:szCs w:val="26"/>
        </w:rPr>
        <w:t xml:space="preserve">составляет </w:t>
      </w:r>
      <w:r w:rsidR="0015279C">
        <w:rPr>
          <w:rFonts w:ascii="Times New Roman" w:hAnsi="Times New Roman"/>
          <w:sz w:val="26"/>
          <w:szCs w:val="26"/>
        </w:rPr>
        <w:t>2</w:t>
      </w:r>
      <w:r w:rsidR="00AA65FF">
        <w:rPr>
          <w:rFonts w:ascii="Times New Roman" w:hAnsi="Times New Roman"/>
          <w:sz w:val="26"/>
          <w:szCs w:val="26"/>
        </w:rPr>
        <w:t>8</w:t>
      </w:r>
      <w:r w:rsidR="0015279C">
        <w:rPr>
          <w:rFonts w:ascii="Times New Roman" w:hAnsi="Times New Roman"/>
          <w:sz w:val="26"/>
          <w:szCs w:val="26"/>
        </w:rPr>
        <w:t>,</w:t>
      </w:r>
      <w:r w:rsidR="00AA65FF">
        <w:rPr>
          <w:rFonts w:ascii="Times New Roman" w:hAnsi="Times New Roman"/>
          <w:sz w:val="26"/>
          <w:szCs w:val="26"/>
        </w:rPr>
        <w:t>9</w:t>
      </w:r>
      <w:r w:rsidR="003C63C2" w:rsidRPr="00412920">
        <w:rPr>
          <w:rFonts w:ascii="Times New Roman" w:hAnsi="Times New Roman"/>
          <w:sz w:val="26"/>
          <w:szCs w:val="26"/>
        </w:rPr>
        <w:t xml:space="preserve"> % (</w:t>
      </w:r>
      <w:r w:rsidRPr="00412920">
        <w:rPr>
          <w:rFonts w:ascii="Times New Roman" w:hAnsi="Times New Roman"/>
          <w:sz w:val="26"/>
          <w:szCs w:val="26"/>
        </w:rPr>
        <w:t>1</w:t>
      </w:r>
      <w:r w:rsidR="00BE10B6" w:rsidRPr="00412920">
        <w:rPr>
          <w:rFonts w:ascii="Times New Roman" w:hAnsi="Times New Roman"/>
          <w:sz w:val="26"/>
          <w:szCs w:val="26"/>
        </w:rPr>
        <w:t>3</w:t>
      </w:r>
      <w:r w:rsidR="003C63C2" w:rsidRPr="00412920">
        <w:rPr>
          <w:rFonts w:ascii="Times New Roman" w:hAnsi="Times New Roman"/>
          <w:sz w:val="26"/>
          <w:szCs w:val="26"/>
        </w:rPr>
        <w:t xml:space="preserve"> мероприятий)</w:t>
      </w:r>
      <w:r w:rsidRPr="00412920">
        <w:rPr>
          <w:rFonts w:ascii="Times New Roman" w:hAnsi="Times New Roman"/>
          <w:sz w:val="26"/>
          <w:szCs w:val="26"/>
        </w:rPr>
        <w:t xml:space="preserve">. В сравнении с предыдущими отчетными периодами увеличена доля экспертно-аналитических мероприятий, так, </w:t>
      </w:r>
      <w:r w:rsidR="00BE10B6" w:rsidRPr="00412920">
        <w:rPr>
          <w:rFonts w:ascii="Times New Roman" w:hAnsi="Times New Roman"/>
          <w:sz w:val="26"/>
          <w:szCs w:val="26"/>
        </w:rPr>
        <w:t>в 2018 году на экспертно-аналитические мероприятия приходится 69 %, в 2017 году - 56 процент</w:t>
      </w:r>
      <w:r w:rsidR="0015279C">
        <w:rPr>
          <w:rFonts w:ascii="Times New Roman" w:hAnsi="Times New Roman"/>
          <w:sz w:val="26"/>
          <w:szCs w:val="26"/>
        </w:rPr>
        <w:t>ов</w:t>
      </w:r>
      <w:r w:rsidR="00BE10B6" w:rsidRPr="00412920">
        <w:rPr>
          <w:rFonts w:ascii="Times New Roman" w:hAnsi="Times New Roman"/>
          <w:sz w:val="26"/>
          <w:szCs w:val="26"/>
        </w:rPr>
        <w:t>.</w:t>
      </w:r>
    </w:p>
    <w:p w:rsidR="00FE4469" w:rsidRPr="00F06F24" w:rsidRDefault="00FE4469" w:rsidP="006244EB">
      <w:pPr>
        <w:spacing w:after="0" w:line="240" w:lineRule="auto"/>
        <w:ind w:firstLine="709"/>
        <w:jc w:val="both"/>
        <w:rPr>
          <w:rFonts w:ascii="Times New Roman" w:hAnsi="Times New Roman"/>
          <w:sz w:val="26"/>
          <w:szCs w:val="26"/>
        </w:rPr>
      </w:pPr>
      <w:r w:rsidRPr="00F06F24">
        <w:rPr>
          <w:rFonts w:ascii="Times New Roman" w:hAnsi="Times New Roman"/>
          <w:sz w:val="26"/>
          <w:szCs w:val="26"/>
        </w:rPr>
        <w:t>При осуществлении своей деятельности в 201</w:t>
      </w:r>
      <w:r w:rsidR="00F06F24" w:rsidRPr="00F06F24">
        <w:rPr>
          <w:rFonts w:ascii="Times New Roman" w:hAnsi="Times New Roman"/>
          <w:sz w:val="26"/>
          <w:szCs w:val="26"/>
        </w:rPr>
        <w:t>9</w:t>
      </w:r>
      <w:r w:rsidRPr="00F06F24">
        <w:rPr>
          <w:rFonts w:ascii="Times New Roman" w:hAnsi="Times New Roman"/>
          <w:sz w:val="26"/>
          <w:szCs w:val="26"/>
        </w:rPr>
        <w:t xml:space="preserve"> году Счетной палатой учтены предложения, принятые постановлением Мурманской областной Думы от 2</w:t>
      </w:r>
      <w:r w:rsidR="00F06F24" w:rsidRPr="00F06F24">
        <w:rPr>
          <w:rFonts w:ascii="Times New Roman" w:hAnsi="Times New Roman"/>
          <w:sz w:val="26"/>
          <w:szCs w:val="26"/>
        </w:rPr>
        <w:t>1</w:t>
      </w:r>
      <w:r w:rsidRPr="00F06F24">
        <w:rPr>
          <w:rFonts w:ascii="Times New Roman" w:hAnsi="Times New Roman"/>
          <w:sz w:val="26"/>
          <w:szCs w:val="26"/>
        </w:rPr>
        <w:t>.03.201</w:t>
      </w:r>
      <w:r w:rsidR="00F06F24" w:rsidRPr="00F06F24">
        <w:rPr>
          <w:rFonts w:ascii="Times New Roman" w:hAnsi="Times New Roman"/>
          <w:sz w:val="26"/>
          <w:szCs w:val="26"/>
        </w:rPr>
        <w:t>9</w:t>
      </w:r>
      <w:r w:rsidRPr="00F06F24">
        <w:rPr>
          <w:rFonts w:ascii="Times New Roman" w:hAnsi="Times New Roman"/>
          <w:sz w:val="26"/>
          <w:szCs w:val="26"/>
        </w:rPr>
        <w:t xml:space="preserve"> № 1</w:t>
      </w:r>
      <w:r w:rsidR="00F06F24" w:rsidRPr="00F06F24">
        <w:rPr>
          <w:rFonts w:ascii="Times New Roman" w:hAnsi="Times New Roman"/>
          <w:sz w:val="26"/>
          <w:szCs w:val="26"/>
        </w:rPr>
        <w:t>764</w:t>
      </w:r>
      <w:r w:rsidRPr="00F06F24">
        <w:rPr>
          <w:rFonts w:ascii="Times New Roman" w:hAnsi="Times New Roman"/>
          <w:sz w:val="26"/>
          <w:szCs w:val="26"/>
        </w:rPr>
        <w:t xml:space="preserve"> по итогам рассмотрения отчета о деятельности Счетной палаты за 201</w:t>
      </w:r>
      <w:r w:rsidR="00F06F24" w:rsidRPr="00F06F24">
        <w:rPr>
          <w:rFonts w:ascii="Times New Roman" w:hAnsi="Times New Roman"/>
          <w:sz w:val="26"/>
          <w:szCs w:val="26"/>
        </w:rPr>
        <w:t>8</w:t>
      </w:r>
      <w:r w:rsidRPr="00F06F24">
        <w:rPr>
          <w:rFonts w:ascii="Times New Roman" w:hAnsi="Times New Roman"/>
          <w:sz w:val="26"/>
          <w:szCs w:val="26"/>
        </w:rPr>
        <w:t xml:space="preserve"> год:</w:t>
      </w:r>
    </w:p>
    <w:p w:rsidR="000C0A96" w:rsidRPr="009845CE" w:rsidRDefault="00FE4469" w:rsidP="006244EB">
      <w:pPr>
        <w:spacing w:after="0" w:line="240" w:lineRule="auto"/>
        <w:ind w:firstLine="709"/>
        <w:jc w:val="both"/>
        <w:rPr>
          <w:rFonts w:ascii="Times New Roman" w:hAnsi="Times New Roman"/>
          <w:sz w:val="26"/>
          <w:szCs w:val="26"/>
        </w:rPr>
      </w:pPr>
      <w:r w:rsidRPr="009845CE">
        <w:rPr>
          <w:rFonts w:ascii="Times New Roman" w:hAnsi="Times New Roman"/>
          <w:sz w:val="26"/>
          <w:szCs w:val="26"/>
        </w:rPr>
        <w:sym w:font="Symbol" w:char="F0B7"/>
      </w:r>
      <w:r w:rsidRPr="009845CE">
        <w:rPr>
          <w:rFonts w:ascii="Times New Roman" w:hAnsi="Times New Roman"/>
          <w:sz w:val="26"/>
          <w:szCs w:val="26"/>
        </w:rPr>
        <w:t xml:space="preserve"> продолжена работа по применению предусмотренных законодательством Российской Федерации мер административно-правового принуждения</w:t>
      </w:r>
      <w:r w:rsidR="0060710A">
        <w:rPr>
          <w:rFonts w:ascii="Times New Roman" w:hAnsi="Times New Roman"/>
          <w:sz w:val="26"/>
          <w:szCs w:val="26"/>
        </w:rPr>
        <w:t>:</w:t>
      </w:r>
      <w:r w:rsidRPr="009845CE">
        <w:rPr>
          <w:rFonts w:ascii="Times New Roman" w:hAnsi="Times New Roman"/>
          <w:sz w:val="26"/>
          <w:szCs w:val="26"/>
        </w:rPr>
        <w:t xml:space="preserve"> в 201</w:t>
      </w:r>
      <w:r w:rsidR="009845CE" w:rsidRPr="009845CE">
        <w:rPr>
          <w:rFonts w:ascii="Times New Roman" w:hAnsi="Times New Roman"/>
          <w:sz w:val="26"/>
          <w:szCs w:val="26"/>
        </w:rPr>
        <w:t>9</w:t>
      </w:r>
      <w:r w:rsidRPr="009845CE">
        <w:rPr>
          <w:rFonts w:ascii="Times New Roman" w:hAnsi="Times New Roman"/>
          <w:sz w:val="26"/>
          <w:szCs w:val="26"/>
        </w:rPr>
        <w:t xml:space="preserve"> году составлены и направлены в суд </w:t>
      </w:r>
      <w:r w:rsidR="009845CE" w:rsidRPr="009845CE">
        <w:rPr>
          <w:rFonts w:ascii="Times New Roman" w:hAnsi="Times New Roman"/>
          <w:sz w:val="26"/>
          <w:szCs w:val="26"/>
        </w:rPr>
        <w:t>19</w:t>
      </w:r>
      <w:r w:rsidRPr="009845CE">
        <w:rPr>
          <w:rFonts w:ascii="Times New Roman" w:hAnsi="Times New Roman"/>
          <w:sz w:val="26"/>
          <w:szCs w:val="26"/>
        </w:rPr>
        <w:t xml:space="preserve"> протоколов об административных правонарушениях. </w:t>
      </w:r>
      <w:r w:rsidR="000C0A96" w:rsidRPr="009845CE">
        <w:rPr>
          <w:rFonts w:ascii="Times New Roman" w:hAnsi="Times New Roman"/>
          <w:sz w:val="26"/>
          <w:szCs w:val="26"/>
        </w:rPr>
        <w:t xml:space="preserve">По результатам рассмотрения протоколов к административной ответственности привлечены </w:t>
      </w:r>
      <w:r w:rsidR="009845CE">
        <w:rPr>
          <w:rFonts w:ascii="Times New Roman" w:hAnsi="Times New Roman"/>
          <w:sz w:val="26"/>
          <w:szCs w:val="26"/>
        </w:rPr>
        <w:t>десять</w:t>
      </w:r>
      <w:r w:rsidR="000C0A96" w:rsidRPr="009845CE">
        <w:rPr>
          <w:rFonts w:ascii="Times New Roman" w:hAnsi="Times New Roman"/>
          <w:sz w:val="26"/>
          <w:szCs w:val="26"/>
        </w:rPr>
        <w:t xml:space="preserve"> должностных лиц и одно юридическое лицо</w:t>
      </w:r>
      <w:r w:rsidR="00841272">
        <w:rPr>
          <w:rFonts w:ascii="Times New Roman" w:hAnsi="Times New Roman"/>
          <w:sz w:val="26"/>
          <w:szCs w:val="26"/>
        </w:rPr>
        <w:t>;</w:t>
      </w:r>
    </w:p>
    <w:p w:rsidR="00FE4469" w:rsidRPr="00EB6C3A" w:rsidRDefault="00FE4469" w:rsidP="006244EB">
      <w:pPr>
        <w:spacing w:after="0" w:line="240" w:lineRule="auto"/>
        <w:ind w:firstLine="709"/>
        <w:jc w:val="both"/>
        <w:rPr>
          <w:rFonts w:ascii="Times New Roman" w:hAnsi="Times New Roman"/>
          <w:sz w:val="26"/>
          <w:szCs w:val="26"/>
        </w:rPr>
      </w:pPr>
      <w:r w:rsidRPr="00EB6C3A">
        <w:rPr>
          <w:rFonts w:ascii="Times New Roman" w:hAnsi="Times New Roman"/>
          <w:sz w:val="26"/>
          <w:szCs w:val="26"/>
        </w:rPr>
        <w:sym w:font="Symbol" w:char="F0B7"/>
      </w:r>
      <w:r w:rsidRPr="00EB6C3A">
        <w:rPr>
          <w:rFonts w:ascii="Times New Roman" w:hAnsi="Times New Roman"/>
          <w:sz w:val="26"/>
          <w:szCs w:val="26"/>
        </w:rPr>
        <w:t xml:space="preserve"> продолжена практика совместной деятельности с контрольно-счетными органами муниципальных образований Мурманской области</w:t>
      </w:r>
      <w:r w:rsidR="0060710A">
        <w:rPr>
          <w:rFonts w:ascii="Times New Roman" w:hAnsi="Times New Roman"/>
          <w:sz w:val="26"/>
          <w:szCs w:val="26"/>
        </w:rPr>
        <w:t>:</w:t>
      </w:r>
      <w:r w:rsidRPr="00EB6C3A">
        <w:rPr>
          <w:rFonts w:ascii="Times New Roman" w:hAnsi="Times New Roman"/>
          <w:sz w:val="26"/>
          <w:szCs w:val="26"/>
        </w:rPr>
        <w:t xml:space="preserve"> проведен</w:t>
      </w:r>
      <w:r w:rsidR="009845CE" w:rsidRPr="00EB6C3A">
        <w:rPr>
          <w:rFonts w:ascii="Times New Roman" w:hAnsi="Times New Roman"/>
          <w:sz w:val="26"/>
          <w:szCs w:val="26"/>
        </w:rPr>
        <w:t>ы</w:t>
      </w:r>
      <w:r w:rsidRPr="00EB6C3A">
        <w:rPr>
          <w:rFonts w:ascii="Times New Roman" w:hAnsi="Times New Roman"/>
          <w:sz w:val="26"/>
          <w:szCs w:val="26"/>
        </w:rPr>
        <w:t xml:space="preserve"> совместн</w:t>
      </w:r>
      <w:r w:rsidR="009845CE" w:rsidRPr="00EB6C3A">
        <w:rPr>
          <w:rFonts w:ascii="Times New Roman" w:hAnsi="Times New Roman"/>
          <w:sz w:val="26"/>
          <w:szCs w:val="26"/>
        </w:rPr>
        <w:t>ые</w:t>
      </w:r>
      <w:r w:rsidRPr="00EB6C3A">
        <w:rPr>
          <w:rFonts w:ascii="Times New Roman" w:hAnsi="Times New Roman"/>
          <w:sz w:val="26"/>
          <w:szCs w:val="26"/>
        </w:rPr>
        <w:t xml:space="preserve"> мероприяти</w:t>
      </w:r>
      <w:r w:rsidR="009845CE" w:rsidRPr="00EB6C3A">
        <w:rPr>
          <w:rFonts w:ascii="Times New Roman" w:hAnsi="Times New Roman"/>
          <w:sz w:val="26"/>
          <w:szCs w:val="26"/>
        </w:rPr>
        <w:t>я</w:t>
      </w:r>
      <w:r w:rsidRPr="00EB6C3A">
        <w:rPr>
          <w:rFonts w:ascii="Times New Roman" w:hAnsi="Times New Roman"/>
          <w:sz w:val="26"/>
          <w:szCs w:val="26"/>
        </w:rPr>
        <w:t xml:space="preserve"> с контрольно-счетными органами муниципальных образований Мурманской области </w:t>
      </w:r>
      <w:r w:rsidR="009845CE" w:rsidRPr="00EB6C3A">
        <w:rPr>
          <w:rFonts w:ascii="Times New Roman" w:hAnsi="Times New Roman"/>
          <w:sz w:val="26"/>
          <w:szCs w:val="26"/>
        </w:rPr>
        <w:t>–</w:t>
      </w:r>
      <w:r w:rsidRPr="00EB6C3A">
        <w:rPr>
          <w:rFonts w:ascii="Times New Roman" w:hAnsi="Times New Roman"/>
          <w:sz w:val="26"/>
          <w:szCs w:val="26"/>
        </w:rPr>
        <w:t xml:space="preserve"> </w:t>
      </w:r>
      <w:r w:rsidR="009845CE" w:rsidRPr="00EB6C3A">
        <w:rPr>
          <w:rFonts w:ascii="Times New Roman" w:hAnsi="Times New Roman"/>
          <w:sz w:val="26"/>
          <w:szCs w:val="26"/>
        </w:rPr>
        <w:t>город Полярные Зори</w:t>
      </w:r>
      <w:r w:rsidR="007D47BD">
        <w:rPr>
          <w:rFonts w:ascii="Times New Roman" w:hAnsi="Times New Roman"/>
          <w:sz w:val="26"/>
          <w:szCs w:val="26"/>
        </w:rPr>
        <w:t xml:space="preserve">, </w:t>
      </w:r>
      <w:r w:rsidRPr="00EB6C3A">
        <w:rPr>
          <w:rFonts w:ascii="Times New Roman" w:hAnsi="Times New Roman"/>
          <w:sz w:val="26"/>
          <w:szCs w:val="26"/>
        </w:rPr>
        <w:t xml:space="preserve">город </w:t>
      </w:r>
      <w:r w:rsidR="00EB6C3A" w:rsidRPr="00EB6C3A">
        <w:rPr>
          <w:rFonts w:ascii="Times New Roman" w:hAnsi="Times New Roman"/>
          <w:sz w:val="26"/>
          <w:szCs w:val="26"/>
        </w:rPr>
        <w:t>Оленегорск</w:t>
      </w:r>
      <w:r w:rsidR="007D47BD">
        <w:rPr>
          <w:rFonts w:ascii="Times New Roman" w:hAnsi="Times New Roman"/>
          <w:sz w:val="26"/>
          <w:szCs w:val="26"/>
        </w:rPr>
        <w:t>, ЗАТО город Островной</w:t>
      </w:r>
      <w:r w:rsidR="00841272">
        <w:rPr>
          <w:rFonts w:ascii="Times New Roman" w:hAnsi="Times New Roman"/>
          <w:sz w:val="26"/>
          <w:szCs w:val="26"/>
        </w:rPr>
        <w:t>;</w:t>
      </w:r>
    </w:p>
    <w:p w:rsidR="008A57BE" w:rsidRPr="008A57BE" w:rsidRDefault="00FE4469" w:rsidP="008A57BE">
      <w:pPr>
        <w:spacing w:after="0" w:line="240" w:lineRule="auto"/>
        <w:ind w:firstLine="709"/>
        <w:jc w:val="both"/>
        <w:rPr>
          <w:rFonts w:ascii="Times New Roman" w:hAnsi="Times New Roman"/>
          <w:sz w:val="26"/>
          <w:szCs w:val="26"/>
        </w:rPr>
      </w:pPr>
      <w:r w:rsidRPr="008A57BE">
        <w:rPr>
          <w:rFonts w:ascii="Times New Roman" w:hAnsi="Times New Roman"/>
          <w:sz w:val="26"/>
          <w:szCs w:val="26"/>
        </w:rPr>
        <w:sym w:font="Symbol" w:char="F0B7"/>
      </w:r>
      <w:r w:rsidRPr="008A57BE">
        <w:rPr>
          <w:rFonts w:ascii="Times New Roman" w:hAnsi="Times New Roman"/>
          <w:sz w:val="26"/>
          <w:szCs w:val="26"/>
        </w:rPr>
        <w:t xml:space="preserve"> </w:t>
      </w:r>
      <w:r w:rsidR="008A57BE">
        <w:rPr>
          <w:rFonts w:ascii="Times New Roman" w:hAnsi="Times New Roman"/>
          <w:sz w:val="26"/>
          <w:szCs w:val="26"/>
        </w:rPr>
        <w:t>в части мониторинга национальных проектов</w:t>
      </w:r>
      <w:r w:rsidR="00FB3CFA">
        <w:rPr>
          <w:rFonts w:ascii="Times New Roman" w:hAnsi="Times New Roman"/>
          <w:sz w:val="26"/>
          <w:szCs w:val="26"/>
        </w:rPr>
        <w:t xml:space="preserve"> в</w:t>
      </w:r>
      <w:r w:rsidR="008A57BE">
        <w:rPr>
          <w:rFonts w:ascii="Times New Roman" w:hAnsi="Times New Roman"/>
          <w:sz w:val="26"/>
          <w:szCs w:val="26"/>
        </w:rPr>
        <w:t xml:space="preserve"> </w:t>
      </w:r>
      <w:r w:rsidR="008A57BE" w:rsidRPr="008A57BE">
        <w:rPr>
          <w:rFonts w:ascii="Times New Roman" w:hAnsi="Times New Roman"/>
          <w:sz w:val="26"/>
          <w:szCs w:val="26"/>
        </w:rPr>
        <w:t>Информаци</w:t>
      </w:r>
      <w:r w:rsidR="00FB3CFA">
        <w:rPr>
          <w:rFonts w:ascii="Times New Roman" w:hAnsi="Times New Roman"/>
          <w:sz w:val="26"/>
          <w:szCs w:val="26"/>
        </w:rPr>
        <w:t>ю</w:t>
      </w:r>
      <w:r w:rsidR="008A57BE" w:rsidRPr="008A57BE">
        <w:rPr>
          <w:rFonts w:ascii="Times New Roman" w:hAnsi="Times New Roman"/>
          <w:sz w:val="26"/>
          <w:szCs w:val="26"/>
        </w:rPr>
        <w:t xml:space="preserve"> о ходе исполнения областного бюджета, бюджета Территориального фонда обязательного медицинского страхования Мурманской области и о результатах проведенных Контрольно-счетной палатой Мурманской области контрольных и экспертно-аналитических мероприятий</w:t>
      </w:r>
      <w:r w:rsidR="006D4E78">
        <w:rPr>
          <w:rFonts w:ascii="Times New Roman" w:hAnsi="Times New Roman"/>
          <w:sz w:val="26"/>
          <w:szCs w:val="26"/>
        </w:rPr>
        <w:t>, начиная с информации</w:t>
      </w:r>
      <w:r w:rsidR="008A57BE" w:rsidRPr="008A57BE">
        <w:rPr>
          <w:rFonts w:ascii="Times New Roman" w:hAnsi="Times New Roman"/>
          <w:sz w:val="26"/>
          <w:szCs w:val="26"/>
        </w:rPr>
        <w:t xml:space="preserve"> за 9 месяцев 2019 года</w:t>
      </w:r>
      <w:r w:rsidR="00AA65FF">
        <w:rPr>
          <w:rFonts w:ascii="Times New Roman" w:hAnsi="Times New Roman"/>
          <w:sz w:val="26"/>
          <w:szCs w:val="26"/>
        </w:rPr>
        <w:t>,</w:t>
      </w:r>
      <w:r w:rsidR="008A57BE">
        <w:rPr>
          <w:rFonts w:ascii="Times New Roman" w:hAnsi="Times New Roman"/>
          <w:sz w:val="26"/>
          <w:szCs w:val="26"/>
        </w:rPr>
        <w:t xml:space="preserve"> включ</w:t>
      </w:r>
      <w:r w:rsidR="006D4E78">
        <w:rPr>
          <w:rFonts w:ascii="Times New Roman" w:hAnsi="Times New Roman"/>
          <w:sz w:val="26"/>
          <w:szCs w:val="26"/>
        </w:rPr>
        <w:t>ается</w:t>
      </w:r>
      <w:r w:rsidR="008A57BE">
        <w:rPr>
          <w:rFonts w:ascii="Times New Roman" w:hAnsi="Times New Roman"/>
          <w:sz w:val="26"/>
          <w:szCs w:val="26"/>
        </w:rPr>
        <w:t xml:space="preserve"> раздел со с</w:t>
      </w:r>
      <w:r w:rsidR="008A57BE" w:rsidRPr="008A57BE">
        <w:rPr>
          <w:rFonts w:ascii="Times New Roman" w:hAnsi="Times New Roman"/>
          <w:sz w:val="26"/>
          <w:szCs w:val="26"/>
        </w:rPr>
        <w:t>ведения</w:t>
      </w:r>
      <w:r w:rsidR="008A57BE">
        <w:rPr>
          <w:rFonts w:ascii="Times New Roman" w:hAnsi="Times New Roman"/>
          <w:sz w:val="26"/>
          <w:szCs w:val="26"/>
        </w:rPr>
        <w:t>ми</w:t>
      </w:r>
      <w:r w:rsidR="008A57BE" w:rsidRPr="008A57BE">
        <w:rPr>
          <w:rFonts w:ascii="Times New Roman" w:hAnsi="Times New Roman"/>
          <w:sz w:val="26"/>
          <w:szCs w:val="26"/>
        </w:rPr>
        <w:t xml:space="preserve"> о кассовых расходах областного бюджета на реализацию национальных проектов в части расходов, предусмотренных на выполнение мероприятий государственных программ Мурманской области (в целях выполнения региональных проектов).</w:t>
      </w:r>
      <w:r w:rsidR="008A57BE">
        <w:rPr>
          <w:rFonts w:ascii="Times New Roman" w:hAnsi="Times New Roman"/>
          <w:sz w:val="26"/>
          <w:szCs w:val="26"/>
        </w:rPr>
        <w:t xml:space="preserve"> Данная информация </w:t>
      </w:r>
      <w:r w:rsidR="006D4E78">
        <w:rPr>
          <w:rFonts w:ascii="Times New Roman" w:hAnsi="Times New Roman"/>
          <w:sz w:val="26"/>
          <w:szCs w:val="26"/>
        </w:rPr>
        <w:t xml:space="preserve">ежеквартально направляется в Мурманскую областную Думу и Губернатору Мурманской области, а </w:t>
      </w:r>
      <w:r w:rsidR="008A57BE">
        <w:rPr>
          <w:rFonts w:ascii="Times New Roman" w:hAnsi="Times New Roman"/>
          <w:sz w:val="26"/>
          <w:szCs w:val="26"/>
        </w:rPr>
        <w:lastRenderedPageBreak/>
        <w:t>также размещ</w:t>
      </w:r>
      <w:r w:rsidR="006D4E78">
        <w:rPr>
          <w:rFonts w:ascii="Times New Roman" w:hAnsi="Times New Roman"/>
          <w:sz w:val="26"/>
          <w:szCs w:val="26"/>
        </w:rPr>
        <w:t>ается</w:t>
      </w:r>
      <w:r w:rsidR="008A57BE">
        <w:rPr>
          <w:rFonts w:ascii="Times New Roman" w:hAnsi="Times New Roman"/>
          <w:sz w:val="26"/>
          <w:szCs w:val="26"/>
        </w:rPr>
        <w:t xml:space="preserve"> в разделе «Контроль и мониторинг национальных проектов» на </w:t>
      </w:r>
      <w:r w:rsidR="008A57BE" w:rsidRPr="008A57BE">
        <w:rPr>
          <w:rFonts w:ascii="Times New Roman" w:hAnsi="Times New Roman"/>
          <w:sz w:val="26"/>
          <w:szCs w:val="26"/>
        </w:rPr>
        <w:t>Портал</w:t>
      </w:r>
      <w:r w:rsidR="008A57BE">
        <w:rPr>
          <w:rFonts w:ascii="Times New Roman" w:hAnsi="Times New Roman"/>
          <w:sz w:val="26"/>
          <w:szCs w:val="26"/>
        </w:rPr>
        <w:t>е</w:t>
      </w:r>
      <w:r w:rsidR="008A57BE" w:rsidRPr="008A57BE">
        <w:rPr>
          <w:rFonts w:ascii="Times New Roman" w:hAnsi="Times New Roman"/>
          <w:sz w:val="26"/>
          <w:szCs w:val="26"/>
        </w:rPr>
        <w:t xml:space="preserve"> Счетной палаты Российской Федерации и контрольно-счетных органов Российской Федерации</w:t>
      </w:r>
      <w:r w:rsidR="00841272">
        <w:rPr>
          <w:rFonts w:ascii="Times New Roman" w:hAnsi="Times New Roman"/>
          <w:sz w:val="26"/>
          <w:szCs w:val="26"/>
        </w:rPr>
        <w:t>;</w:t>
      </w:r>
      <w:r w:rsidR="008A57BE" w:rsidRPr="008A57BE">
        <w:rPr>
          <w:rFonts w:ascii="Times New Roman" w:hAnsi="Times New Roman"/>
          <w:sz w:val="26"/>
          <w:szCs w:val="26"/>
        </w:rPr>
        <w:t xml:space="preserve"> </w:t>
      </w:r>
    </w:p>
    <w:p w:rsidR="00FE4469" w:rsidRPr="00F06F24" w:rsidRDefault="00FE4469" w:rsidP="00C31C0B">
      <w:pPr>
        <w:spacing w:after="0" w:line="240" w:lineRule="auto"/>
        <w:ind w:firstLine="709"/>
        <w:jc w:val="both"/>
        <w:rPr>
          <w:rFonts w:ascii="Times New Roman" w:hAnsi="Times New Roman"/>
          <w:sz w:val="26"/>
          <w:szCs w:val="26"/>
        </w:rPr>
      </w:pPr>
      <w:r w:rsidRPr="00F06F24">
        <w:rPr>
          <w:rFonts w:ascii="Times New Roman" w:hAnsi="Times New Roman"/>
          <w:sz w:val="26"/>
          <w:szCs w:val="26"/>
        </w:rPr>
        <w:sym w:font="Symbol" w:char="F0B7"/>
      </w:r>
      <w:r w:rsidRPr="00F06F24">
        <w:rPr>
          <w:rFonts w:ascii="Times New Roman" w:hAnsi="Times New Roman"/>
          <w:sz w:val="26"/>
          <w:szCs w:val="26"/>
        </w:rPr>
        <w:t xml:space="preserve"> </w:t>
      </w:r>
      <w:r w:rsidR="00883295" w:rsidRPr="00883295">
        <w:rPr>
          <w:rFonts w:ascii="Times New Roman" w:hAnsi="Times New Roman"/>
          <w:sz w:val="26"/>
          <w:szCs w:val="26"/>
        </w:rPr>
        <w:t>в части проведения анализа деятельности контрольно-счетных органов муниципальных образований Мурманской области</w:t>
      </w:r>
      <w:r w:rsidR="00883295">
        <w:rPr>
          <w:rFonts w:ascii="Times New Roman" w:hAnsi="Times New Roman"/>
          <w:sz w:val="26"/>
          <w:szCs w:val="26"/>
        </w:rPr>
        <w:t xml:space="preserve"> (КСО Мурманской области)</w:t>
      </w:r>
      <w:r w:rsidR="0060710A">
        <w:rPr>
          <w:rFonts w:ascii="Times New Roman" w:hAnsi="Times New Roman"/>
          <w:sz w:val="26"/>
          <w:szCs w:val="26"/>
        </w:rPr>
        <w:t>:</w:t>
      </w:r>
      <w:r w:rsidR="00883295">
        <w:rPr>
          <w:rFonts w:ascii="Times New Roman" w:hAnsi="Times New Roman"/>
          <w:sz w:val="26"/>
          <w:szCs w:val="26"/>
        </w:rPr>
        <w:t xml:space="preserve"> организова</w:t>
      </w:r>
      <w:r w:rsidR="0060710A">
        <w:rPr>
          <w:rFonts w:ascii="Times New Roman" w:hAnsi="Times New Roman"/>
          <w:sz w:val="26"/>
          <w:szCs w:val="26"/>
        </w:rPr>
        <w:t>н</w:t>
      </w:r>
      <w:r w:rsidR="00883295">
        <w:rPr>
          <w:rFonts w:ascii="Times New Roman" w:hAnsi="Times New Roman"/>
          <w:sz w:val="26"/>
          <w:szCs w:val="26"/>
        </w:rPr>
        <w:t xml:space="preserve"> и прове</w:t>
      </w:r>
      <w:r w:rsidR="0060710A">
        <w:rPr>
          <w:rFonts w:ascii="Times New Roman" w:hAnsi="Times New Roman"/>
          <w:sz w:val="26"/>
          <w:szCs w:val="26"/>
        </w:rPr>
        <w:t>ден</w:t>
      </w:r>
      <w:r w:rsidR="00702540">
        <w:rPr>
          <w:rFonts w:ascii="Times New Roman" w:hAnsi="Times New Roman"/>
          <w:sz w:val="26"/>
          <w:szCs w:val="26"/>
        </w:rPr>
        <w:t xml:space="preserve"> </w:t>
      </w:r>
      <w:r w:rsidR="00883295">
        <w:rPr>
          <w:rFonts w:ascii="Times New Roman" w:hAnsi="Times New Roman"/>
          <w:sz w:val="26"/>
          <w:szCs w:val="26"/>
        </w:rPr>
        <w:t>сбор и анализ информации (планы работ, положения</w:t>
      </w:r>
      <w:r w:rsidR="00702540">
        <w:rPr>
          <w:rFonts w:ascii="Times New Roman" w:hAnsi="Times New Roman"/>
          <w:sz w:val="26"/>
          <w:szCs w:val="26"/>
        </w:rPr>
        <w:t xml:space="preserve"> о КСО Мурманской области</w:t>
      </w:r>
      <w:r w:rsidR="00883295">
        <w:rPr>
          <w:rFonts w:ascii="Times New Roman" w:hAnsi="Times New Roman"/>
          <w:sz w:val="26"/>
          <w:szCs w:val="26"/>
        </w:rPr>
        <w:t xml:space="preserve">, анкеты) по </w:t>
      </w:r>
      <w:r w:rsidR="00883295" w:rsidRPr="00883295">
        <w:rPr>
          <w:rFonts w:ascii="Times New Roman" w:hAnsi="Times New Roman"/>
          <w:sz w:val="26"/>
          <w:szCs w:val="26"/>
        </w:rPr>
        <w:t>отдельны</w:t>
      </w:r>
      <w:r w:rsidR="00883295">
        <w:rPr>
          <w:rFonts w:ascii="Times New Roman" w:hAnsi="Times New Roman"/>
          <w:sz w:val="26"/>
          <w:szCs w:val="26"/>
        </w:rPr>
        <w:t>м</w:t>
      </w:r>
      <w:r w:rsidR="00883295" w:rsidRPr="00883295">
        <w:rPr>
          <w:rFonts w:ascii="Times New Roman" w:hAnsi="Times New Roman"/>
          <w:sz w:val="26"/>
          <w:szCs w:val="26"/>
        </w:rPr>
        <w:t xml:space="preserve"> вопрос</w:t>
      </w:r>
      <w:r w:rsidR="00883295">
        <w:rPr>
          <w:rFonts w:ascii="Times New Roman" w:hAnsi="Times New Roman"/>
          <w:sz w:val="26"/>
          <w:szCs w:val="26"/>
        </w:rPr>
        <w:t>ам</w:t>
      </w:r>
      <w:r w:rsidR="00883295" w:rsidRPr="00883295">
        <w:rPr>
          <w:rFonts w:ascii="Times New Roman" w:hAnsi="Times New Roman"/>
          <w:sz w:val="26"/>
          <w:szCs w:val="26"/>
        </w:rPr>
        <w:t xml:space="preserve"> деятельности </w:t>
      </w:r>
      <w:r w:rsidR="00883295">
        <w:rPr>
          <w:rFonts w:ascii="Times New Roman" w:hAnsi="Times New Roman"/>
          <w:sz w:val="26"/>
          <w:szCs w:val="26"/>
        </w:rPr>
        <w:t>КСО</w:t>
      </w:r>
      <w:r w:rsidR="00883295" w:rsidRPr="00883295">
        <w:rPr>
          <w:rFonts w:ascii="Times New Roman" w:hAnsi="Times New Roman"/>
          <w:sz w:val="26"/>
          <w:szCs w:val="26"/>
        </w:rPr>
        <w:t xml:space="preserve"> Мурманской области за 2017 - 2019 годы</w:t>
      </w:r>
      <w:r w:rsidR="00883295">
        <w:rPr>
          <w:rFonts w:ascii="Times New Roman" w:hAnsi="Times New Roman"/>
          <w:sz w:val="26"/>
          <w:szCs w:val="26"/>
        </w:rPr>
        <w:t xml:space="preserve">. Результаты </w:t>
      </w:r>
      <w:r w:rsidR="00524201">
        <w:rPr>
          <w:rFonts w:ascii="Times New Roman" w:hAnsi="Times New Roman"/>
          <w:sz w:val="26"/>
          <w:szCs w:val="26"/>
        </w:rPr>
        <w:t xml:space="preserve">анализа </w:t>
      </w:r>
      <w:r w:rsidR="00883295">
        <w:rPr>
          <w:rFonts w:ascii="Times New Roman" w:hAnsi="Times New Roman"/>
          <w:sz w:val="26"/>
          <w:szCs w:val="26"/>
        </w:rPr>
        <w:t xml:space="preserve">и рекомендации </w:t>
      </w:r>
      <w:r w:rsidR="00702540">
        <w:rPr>
          <w:rFonts w:ascii="Times New Roman" w:hAnsi="Times New Roman"/>
          <w:sz w:val="26"/>
          <w:szCs w:val="26"/>
        </w:rPr>
        <w:t xml:space="preserve">планируются к </w:t>
      </w:r>
      <w:r w:rsidR="00883295">
        <w:rPr>
          <w:rFonts w:ascii="Times New Roman" w:hAnsi="Times New Roman"/>
          <w:sz w:val="26"/>
          <w:szCs w:val="26"/>
        </w:rPr>
        <w:t>направлен</w:t>
      </w:r>
      <w:r w:rsidR="00702540">
        <w:rPr>
          <w:rFonts w:ascii="Times New Roman" w:hAnsi="Times New Roman"/>
          <w:sz w:val="26"/>
          <w:szCs w:val="26"/>
        </w:rPr>
        <w:t>ию</w:t>
      </w:r>
      <w:r w:rsidR="00883295">
        <w:rPr>
          <w:rFonts w:ascii="Times New Roman" w:hAnsi="Times New Roman"/>
          <w:sz w:val="26"/>
          <w:szCs w:val="26"/>
        </w:rPr>
        <w:t xml:space="preserve"> в </w:t>
      </w:r>
      <w:r w:rsidR="00702540" w:rsidRPr="00702540">
        <w:rPr>
          <w:rFonts w:ascii="Times New Roman" w:hAnsi="Times New Roman"/>
          <w:sz w:val="26"/>
          <w:szCs w:val="26"/>
        </w:rPr>
        <w:t>контрольно-счетны</w:t>
      </w:r>
      <w:r w:rsidR="00702540">
        <w:rPr>
          <w:rFonts w:ascii="Times New Roman" w:hAnsi="Times New Roman"/>
          <w:sz w:val="26"/>
          <w:szCs w:val="26"/>
        </w:rPr>
        <w:t>е</w:t>
      </w:r>
      <w:r w:rsidR="00702540" w:rsidRPr="00702540">
        <w:rPr>
          <w:rFonts w:ascii="Times New Roman" w:hAnsi="Times New Roman"/>
          <w:sz w:val="26"/>
          <w:szCs w:val="26"/>
        </w:rPr>
        <w:t xml:space="preserve"> орган</w:t>
      </w:r>
      <w:r w:rsidR="00702540">
        <w:rPr>
          <w:rFonts w:ascii="Times New Roman" w:hAnsi="Times New Roman"/>
          <w:sz w:val="26"/>
          <w:szCs w:val="26"/>
        </w:rPr>
        <w:t>ы</w:t>
      </w:r>
      <w:r w:rsidR="00702540" w:rsidRPr="00702540">
        <w:rPr>
          <w:rFonts w:ascii="Times New Roman" w:hAnsi="Times New Roman"/>
          <w:sz w:val="26"/>
          <w:szCs w:val="26"/>
        </w:rPr>
        <w:t xml:space="preserve"> муниципальных образований Мурманской области</w:t>
      </w:r>
      <w:r w:rsidR="00883295">
        <w:rPr>
          <w:rFonts w:ascii="Times New Roman" w:hAnsi="Times New Roman"/>
          <w:sz w:val="26"/>
          <w:szCs w:val="26"/>
        </w:rPr>
        <w:t xml:space="preserve">. </w:t>
      </w:r>
    </w:p>
    <w:p w:rsidR="00841272" w:rsidRDefault="00FE4469" w:rsidP="006244EB">
      <w:pPr>
        <w:spacing w:after="0" w:line="240" w:lineRule="auto"/>
        <w:ind w:firstLine="709"/>
        <w:jc w:val="both"/>
        <w:rPr>
          <w:rFonts w:ascii="Times New Roman" w:hAnsi="Times New Roman"/>
          <w:sz w:val="16"/>
          <w:szCs w:val="16"/>
        </w:rPr>
      </w:pPr>
      <w:r w:rsidRPr="00423822">
        <w:rPr>
          <w:rFonts w:ascii="Times New Roman" w:hAnsi="Times New Roman"/>
          <w:sz w:val="26"/>
          <w:szCs w:val="26"/>
        </w:rPr>
        <w:t>Информация об основных показателях деятельности Счетной палаты за 201</w:t>
      </w:r>
      <w:r w:rsidR="00423822" w:rsidRPr="00423822">
        <w:rPr>
          <w:rFonts w:ascii="Times New Roman" w:hAnsi="Times New Roman"/>
          <w:sz w:val="26"/>
          <w:szCs w:val="26"/>
        </w:rPr>
        <w:t xml:space="preserve">9 </w:t>
      </w:r>
      <w:r w:rsidRPr="00423822">
        <w:rPr>
          <w:rFonts w:ascii="Times New Roman" w:hAnsi="Times New Roman"/>
          <w:sz w:val="26"/>
          <w:szCs w:val="26"/>
        </w:rPr>
        <w:t xml:space="preserve">год представлена в Приложении № 1 к отчету. </w:t>
      </w:r>
    </w:p>
    <w:p w:rsidR="00DE5709" w:rsidRPr="00DE5709" w:rsidRDefault="00DE5709" w:rsidP="006244EB">
      <w:pPr>
        <w:spacing w:after="0" w:line="240" w:lineRule="auto"/>
        <w:ind w:firstLine="709"/>
        <w:jc w:val="both"/>
        <w:rPr>
          <w:rFonts w:ascii="Times New Roman" w:hAnsi="Times New Roman"/>
          <w:sz w:val="16"/>
          <w:szCs w:val="16"/>
        </w:rPr>
      </w:pPr>
    </w:p>
    <w:p w:rsidR="00FE4469" w:rsidRDefault="00FE4469" w:rsidP="006244EB">
      <w:pPr>
        <w:spacing w:after="0" w:line="240" w:lineRule="auto"/>
        <w:ind w:firstLine="709"/>
        <w:jc w:val="both"/>
        <w:rPr>
          <w:rFonts w:ascii="Times New Roman" w:hAnsi="Times New Roman"/>
          <w:sz w:val="26"/>
          <w:szCs w:val="26"/>
        </w:rPr>
      </w:pPr>
      <w:r w:rsidRPr="00423822">
        <w:rPr>
          <w:rFonts w:ascii="Times New Roman" w:hAnsi="Times New Roman"/>
          <w:b/>
          <w:sz w:val="26"/>
          <w:szCs w:val="26"/>
        </w:rPr>
        <w:t>2.</w:t>
      </w:r>
      <w:r w:rsidRPr="00423822">
        <w:rPr>
          <w:rFonts w:ascii="Times New Roman" w:hAnsi="Times New Roman"/>
          <w:sz w:val="26"/>
          <w:szCs w:val="26"/>
        </w:rPr>
        <w:t xml:space="preserve"> Объектами государственного финансового контроля в 201</w:t>
      </w:r>
      <w:r w:rsidR="00423822" w:rsidRPr="00423822">
        <w:rPr>
          <w:rFonts w:ascii="Times New Roman" w:hAnsi="Times New Roman"/>
          <w:sz w:val="26"/>
          <w:szCs w:val="26"/>
        </w:rPr>
        <w:t>9</w:t>
      </w:r>
      <w:r w:rsidRPr="00423822">
        <w:rPr>
          <w:rFonts w:ascii="Times New Roman" w:hAnsi="Times New Roman"/>
          <w:sz w:val="26"/>
          <w:szCs w:val="26"/>
        </w:rPr>
        <w:t xml:space="preserve"> году являлись главные распорядители и получатели средств областного бюджета, государственные учреждения, главные распорядители и получатели средств бюджетов муниципальных образований – получатели межбюджетных трансфертов, а также Территориальный фонд обязательного медицинского страхования Мурманской области (далее – ТФОМС) и иные </w:t>
      </w:r>
      <w:r w:rsidRPr="00412920">
        <w:rPr>
          <w:rFonts w:ascii="Times New Roman" w:hAnsi="Times New Roman"/>
          <w:sz w:val="26"/>
          <w:szCs w:val="26"/>
        </w:rPr>
        <w:t xml:space="preserve">организации. В отчетном периоде внешним финансовым контролем были охвачены </w:t>
      </w:r>
      <w:r w:rsidRPr="002212C8">
        <w:rPr>
          <w:rFonts w:ascii="Times New Roman" w:hAnsi="Times New Roman"/>
          <w:sz w:val="26"/>
          <w:szCs w:val="26"/>
        </w:rPr>
        <w:t>1</w:t>
      </w:r>
      <w:r w:rsidR="00412920" w:rsidRPr="002212C8">
        <w:rPr>
          <w:rFonts w:ascii="Times New Roman" w:hAnsi="Times New Roman"/>
          <w:sz w:val="26"/>
          <w:szCs w:val="26"/>
        </w:rPr>
        <w:t>77</w:t>
      </w:r>
      <w:r w:rsidRPr="002212C8">
        <w:rPr>
          <w:rFonts w:ascii="Times New Roman" w:hAnsi="Times New Roman"/>
          <w:sz w:val="26"/>
          <w:szCs w:val="26"/>
        </w:rPr>
        <w:t xml:space="preserve"> объект</w:t>
      </w:r>
      <w:r w:rsidR="00412920" w:rsidRPr="002212C8">
        <w:rPr>
          <w:rFonts w:ascii="Times New Roman" w:hAnsi="Times New Roman"/>
          <w:sz w:val="26"/>
          <w:szCs w:val="26"/>
        </w:rPr>
        <w:t>ов (из них 74 объект</w:t>
      </w:r>
      <w:r w:rsidR="0060710A">
        <w:rPr>
          <w:rFonts w:ascii="Times New Roman" w:hAnsi="Times New Roman"/>
          <w:sz w:val="26"/>
          <w:szCs w:val="26"/>
        </w:rPr>
        <w:t>а</w:t>
      </w:r>
      <w:r w:rsidR="00412920" w:rsidRPr="002212C8">
        <w:rPr>
          <w:rFonts w:ascii="Times New Roman" w:hAnsi="Times New Roman"/>
          <w:sz w:val="26"/>
          <w:szCs w:val="26"/>
        </w:rPr>
        <w:t xml:space="preserve"> контрольных и 103 объекта экспертно-аналитических мероприятий)</w:t>
      </w:r>
      <w:r w:rsidRPr="002212C8">
        <w:rPr>
          <w:rFonts w:ascii="Times New Roman" w:hAnsi="Times New Roman"/>
          <w:sz w:val="26"/>
          <w:szCs w:val="26"/>
        </w:rPr>
        <w:t>.</w:t>
      </w:r>
      <w:r w:rsidRPr="00412920">
        <w:rPr>
          <w:rFonts w:ascii="Times New Roman" w:hAnsi="Times New Roman"/>
          <w:sz w:val="26"/>
          <w:szCs w:val="26"/>
        </w:rPr>
        <w:t xml:space="preserve"> </w:t>
      </w:r>
      <w:r w:rsidRPr="003C5906">
        <w:rPr>
          <w:rFonts w:ascii="Times New Roman" w:hAnsi="Times New Roman"/>
          <w:sz w:val="26"/>
          <w:szCs w:val="26"/>
        </w:rPr>
        <w:t xml:space="preserve">На основном этапе мероприятий Счетной палаты, инспекторским составом составлены и подписаны </w:t>
      </w:r>
      <w:r w:rsidR="003C5906" w:rsidRPr="003C5906">
        <w:rPr>
          <w:rFonts w:ascii="Times New Roman" w:hAnsi="Times New Roman"/>
          <w:sz w:val="26"/>
          <w:szCs w:val="26"/>
        </w:rPr>
        <w:t>9</w:t>
      </w:r>
      <w:r w:rsidR="00FD54D7">
        <w:rPr>
          <w:rFonts w:ascii="Times New Roman" w:hAnsi="Times New Roman"/>
          <w:sz w:val="26"/>
          <w:szCs w:val="26"/>
        </w:rPr>
        <w:t>3</w:t>
      </w:r>
      <w:r w:rsidRPr="003C5906">
        <w:rPr>
          <w:rFonts w:ascii="Times New Roman" w:hAnsi="Times New Roman"/>
          <w:sz w:val="26"/>
          <w:szCs w:val="26"/>
        </w:rPr>
        <w:t xml:space="preserve"> акт</w:t>
      </w:r>
      <w:r w:rsidR="003C5906" w:rsidRPr="003C5906">
        <w:rPr>
          <w:rFonts w:ascii="Times New Roman" w:hAnsi="Times New Roman"/>
          <w:sz w:val="26"/>
          <w:szCs w:val="26"/>
        </w:rPr>
        <w:t>а</w:t>
      </w:r>
      <w:r w:rsidRPr="003C5906">
        <w:rPr>
          <w:rFonts w:ascii="Times New Roman" w:hAnsi="Times New Roman"/>
          <w:sz w:val="26"/>
          <w:szCs w:val="26"/>
        </w:rPr>
        <w:t xml:space="preserve"> (заключени</w:t>
      </w:r>
      <w:r w:rsidR="003C5906" w:rsidRPr="003C5906">
        <w:rPr>
          <w:rFonts w:ascii="Times New Roman" w:hAnsi="Times New Roman"/>
          <w:sz w:val="26"/>
          <w:szCs w:val="26"/>
        </w:rPr>
        <w:t>я</w:t>
      </w:r>
      <w:r w:rsidRPr="003C5906">
        <w:rPr>
          <w:rFonts w:ascii="Times New Roman" w:hAnsi="Times New Roman"/>
          <w:sz w:val="26"/>
          <w:szCs w:val="26"/>
        </w:rPr>
        <w:t>), на основании которых аудиторами составлялись отчеты и заключения для рассмотрения их на заседаниях Коллегии Счетной палаты.</w:t>
      </w:r>
    </w:p>
    <w:p w:rsidR="00452D91" w:rsidRPr="003C5906" w:rsidRDefault="00452D91" w:rsidP="006244EB">
      <w:pPr>
        <w:spacing w:after="0" w:line="240" w:lineRule="auto"/>
        <w:ind w:firstLine="709"/>
        <w:jc w:val="both"/>
        <w:rPr>
          <w:rFonts w:ascii="Times New Roman" w:hAnsi="Times New Roman"/>
          <w:sz w:val="26"/>
          <w:szCs w:val="26"/>
        </w:rPr>
      </w:pPr>
      <w:r>
        <w:rPr>
          <w:rFonts w:ascii="Times New Roman" w:hAnsi="Times New Roman"/>
          <w:sz w:val="26"/>
          <w:szCs w:val="26"/>
        </w:rPr>
        <w:t>Распределение тематики проведенных мероприятий внешнего контроля в части отраслевой принадлежности представлено в следующей диаграмме.</w:t>
      </w:r>
    </w:p>
    <w:p w:rsidR="00452D91" w:rsidRDefault="00452D91" w:rsidP="00452D91">
      <w:pPr>
        <w:spacing w:after="0" w:line="240" w:lineRule="auto"/>
        <w:jc w:val="both"/>
        <w:rPr>
          <w:rFonts w:ascii="Times New Roman" w:hAnsi="Times New Roman"/>
          <w:sz w:val="26"/>
          <w:szCs w:val="26"/>
        </w:rPr>
      </w:pPr>
      <w:r>
        <w:rPr>
          <w:noProof/>
        </w:rPr>
        <w:drawing>
          <wp:inline distT="0" distB="0" distL="0" distR="0" wp14:anchorId="2D755057" wp14:editId="0897F47F">
            <wp:extent cx="6099859" cy="4010660"/>
            <wp:effectExtent l="0" t="0" r="15240" b="889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00711" w:rsidRDefault="00A00711" w:rsidP="006244EB">
      <w:pPr>
        <w:spacing w:after="0" w:line="240" w:lineRule="auto"/>
        <w:ind w:firstLine="709"/>
        <w:jc w:val="both"/>
        <w:rPr>
          <w:rFonts w:ascii="Times New Roman" w:hAnsi="Times New Roman"/>
          <w:sz w:val="26"/>
          <w:szCs w:val="26"/>
        </w:rPr>
      </w:pPr>
    </w:p>
    <w:p w:rsidR="00FE4469" w:rsidRPr="00AC7EDF" w:rsidRDefault="00FE4469" w:rsidP="006244EB">
      <w:pPr>
        <w:spacing w:after="0" w:line="240" w:lineRule="auto"/>
        <w:ind w:firstLine="709"/>
        <w:jc w:val="both"/>
        <w:rPr>
          <w:rFonts w:ascii="Times New Roman" w:hAnsi="Times New Roman"/>
          <w:sz w:val="26"/>
          <w:szCs w:val="26"/>
        </w:rPr>
      </w:pPr>
      <w:r w:rsidRPr="00AC7EDF">
        <w:rPr>
          <w:rFonts w:ascii="Times New Roman" w:hAnsi="Times New Roman"/>
          <w:sz w:val="26"/>
          <w:szCs w:val="26"/>
        </w:rPr>
        <w:lastRenderedPageBreak/>
        <w:t>В течение года проведено 3</w:t>
      </w:r>
      <w:r w:rsidR="003C5906" w:rsidRPr="00AC7EDF">
        <w:rPr>
          <w:rFonts w:ascii="Times New Roman" w:hAnsi="Times New Roman"/>
          <w:sz w:val="26"/>
          <w:szCs w:val="26"/>
        </w:rPr>
        <w:t>1</w:t>
      </w:r>
      <w:r w:rsidRPr="00AC7EDF">
        <w:rPr>
          <w:rFonts w:ascii="Times New Roman" w:hAnsi="Times New Roman"/>
          <w:sz w:val="26"/>
          <w:szCs w:val="26"/>
        </w:rPr>
        <w:t xml:space="preserve"> заседани</w:t>
      </w:r>
      <w:r w:rsidR="003C5906" w:rsidRPr="00AC7EDF">
        <w:rPr>
          <w:rFonts w:ascii="Times New Roman" w:hAnsi="Times New Roman"/>
          <w:sz w:val="26"/>
          <w:szCs w:val="26"/>
        </w:rPr>
        <w:t>е</w:t>
      </w:r>
      <w:r w:rsidRPr="00AC7EDF">
        <w:rPr>
          <w:rFonts w:ascii="Times New Roman" w:hAnsi="Times New Roman"/>
          <w:sz w:val="26"/>
          <w:szCs w:val="26"/>
        </w:rPr>
        <w:t xml:space="preserve"> Коллегии Счетной палаты, на которых рассмотрено </w:t>
      </w:r>
      <w:r w:rsidR="00AC7EDF">
        <w:rPr>
          <w:rFonts w:ascii="Times New Roman" w:hAnsi="Times New Roman"/>
          <w:sz w:val="26"/>
          <w:szCs w:val="26"/>
        </w:rPr>
        <w:t>5</w:t>
      </w:r>
      <w:r w:rsidRPr="00AC7EDF">
        <w:rPr>
          <w:rFonts w:ascii="Times New Roman" w:hAnsi="Times New Roman"/>
          <w:sz w:val="26"/>
          <w:szCs w:val="26"/>
        </w:rPr>
        <w:t xml:space="preserve">8 вопросов. </w:t>
      </w:r>
    </w:p>
    <w:p w:rsidR="00FE4469" w:rsidRPr="003C5906" w:rsidRDefault="00FE4469" w:rsidP="006244EB">
      <w:pPr>
        <w:spacing w:after="0" w:line="240" w:lineRule="auto"/>
        <w:ind w:firstLine="709"/>
        <w:jc w:val="both"/>
        <w:rPr>
          <w:rFonts w:ascii="Times New Roman" w:hAnsi="Times New Roman"/>
          <w:sz w:val="26"/>
          <w:szCs w:val="26"/>
        </w:rPr>
      </w:pPr>
      <w:r w:rsidRPr="003C5906">
        <w:rPr>
          <w:rFonts w:ascii="Times New Roman" w:hAnsi="Times New Roman"/>
          <w:sz w:val="26"/>
          <w:szCs w:val="26"/>
        </w:rPr>
        <w:t>По результатам проведенных в соответствии с Планом работы на 201</w:t>
      </w:r>
      <w:r w:rsidR="003C5906" w:rsidRPr="003C5906">
        <w:rPr>
          <w:rFonts w:ascii="Times New Roman" w:hAnsi="Times New Roman"/>
          <w:sz w:val="26"/>
          <w:szCs w:val="26"/>
        </w:rPr>
        <w:t>9</w:t>
      </w:r>
      <w:r w:rsidRPr="003C5906">
        <w:rPr>
          <w:rFonts w:ascii="Times New Roman" w:hAnsi="Times New Roman"/>
          <w:sz w:val="26"/>
          <w:szCs w:val="26"/>
        </w:rPr>
        <w:t xml:space="preserve"> год мероприятий</w:t>
      </w:r>
      <w:r w:rsidRPr="003C5906">
        <w:t xml:space="preserve"> </w:t>
      </w:r>
      <w:r w:rsidRPr="003C5906">
        <w:rPr>
          <w:rFonts w:ascii="Times New Roman" w:hAnsi="Times New Roman"/>
          <w:sz w:val="26"/>
          <w:szCs w:val="26"/>
        </w:rPr>
        <w:t>внешнего финансового контроля:</w:t>
      </w:r>
    </w:p>
    <w:p w:rsidR="000C0A96" w:rsidRPr="003C5906" w:rsidRDefault="000C0A96" w:rsidP="006244EB">
      <w:pPr>
        <w:spacing w:after="0" w:line="240" w:lineRule="auto"/>
        <w:ind w:firstLine="709"/>
        <w:jc w:val="both"/>
        <w:rPr>
          <w:rFonts w:ascii="Times New Roman" w:hAnsi="Times New Roman"/>
          <w:sz w:val="26"/>
          <w:szCs w:val="26"/>
        </w:rPr>
      </w:pPr>
      <w:r w:rsidRPr="003C5906">
        <w:rPr>
          <w:rFonts w:ascii="Times New Roman" w:hAnsi="Times New Roman"/>
          <w:sz w:val="26"/>
          <w:szCs w:val="26"/>
        </w:rPr>
        <w:sym w:font="Symbol" w:char="F0B7"/>
      </w:r>
      <w:r w:rsidRPr="003C5906">
        <w:rPr>
          <w:rFonts w:ascii="Times New Roman" w:hAnsi="Times New Roman"/>
          <w:sz w:val="26"/>
          <w:szCs w:val="26"/>
        </w:rPr>
        <w:t> Коллегией Счетной палаты утверждено 13 заключений и 24 отчета;</w:t>
      </w:r>
    </w:p>
    <w:p w:rsidR="000C0A96" w:rsidRPr="003C5906" w:rsidRDefault="000C0A96" w:rsidP="006244EB">
      <w:pPr>
        <w:spacing w:after="0" w:line="240" w:lineRule="auto"/>
        <w:ind w:firstLine="709"/>
        <w:jc w:val="both"/>
        <w:rPr>
          <w:rFonts w:ascii="Times New Roman" w:hAnsi="Times New Roman"/>
          <w:sz w:val="26"/>
          <w:szCs w:val="26"/>
        </w:rPr>
      </w:pPr>
      <w:r w:rsidRPr="003C5906">
        <w:rPr>
          <w:rFonts w:ascii="Times New Roman" w:hAnsi="Times New Roman"/>
          <w:sz w:val="26"/>
          <w:szCs w:val="26"/>
        </w:rPr>
        <w:sym w:font="Symbol" w:char="F0B7"/>
      </w:r>
      <w:r w:rsidRPr="003C5906">
        <w:rPr>
          <w:rFonts w:ascii="Times New Roman" w:hAnsi="Times New Roman"/>
          <w:sz w:val="26"/>
          <w:szCs w:val="26"/>
        </w:rPr>
        <w:t> </w:t>
      </w:r>
      <w:r w:rsidR="0060710A" w:rsidRPr="003C5906">
        <w:rPr>
          <w:rFonts w:ascii="Times New Roman" w:hAnsi="Times New Roman"/>
          <w:sz w:val="26"/>
          <w:szCs w:val="26"/>
        </w:rPr>
        <w:t>подготовлен</w:t>
      </w:r>
      <w:r w:rsidR="0060710A">
        <w:rPr>
          <w:rFonts w:ascii="Times New Roman" w:hAnsi="Times New Roman"/>
          <w:sz w:val="26"/>
          <w:szCs w:val="26"/>
        </w:rPr>
        <w:t>о</w:t>
      </w:r>
      <w:r w:rsidR="0060710A" w:rsidRPr="003C5906">
        <w:rPr>
          <w:rFonts w:ascii="Times New Roman" w:hAnsi="Times New Roman"/>
          <w:sz w:val="26"/>
          <w:szCs w:val="26"/>
        </w:rPr>
        <w:t xml:space="preserve"> и направлен</w:t>
      </w:r>
      <w:r w:rsidR="0060710A">
        <w:rPr>
          <w:rFonts w:ascii="Times New Roman" w:hAnsi="Times New Roman"/>
          <w:sz w:val="26"/>
          <w:szCs w:val="26"/>
        </w:rPr>
        <w:t>о</w:t>
      </w:r>
      <w:r w:rsidR="0060710A" w:rsidRPr="003C5906">
        <w:rPr>
          <w:rFonts w:ascii="Times New Roman" w:hAnsi="Times New Roman"/>
          <w:sz w:val="26"/>
          <w:szCs w:val="26"/>
        </w:rPr>
        <w:t xml:space="preserve"> </w:t>
      </w:r>
      <w:r w:rsidRPr="003C5906">
        <w:rPr>
          <w:rFonts w:ascii="Times New Roman" w:hAnsi="Times New Roman"/>
          <w:sz w:val="26"/>
          <w:szCs w:val="26"/>
        </w:rPr>
        <w:t xml:space="preserve">в Мурманскую областную Думу, Губернатору Мурманской области </w:t>
      </w:r>
      <w:r w:rsidR="00A00711">
        <w:rPr>
          <w:rFonts w:ascii="Times New Roman" w:hAnsi="Times New Roman"/>
          <w:sz w:val="26"/>
          <w:szCs w:val="26"/>
        </w:rPr>
        <w:t>8</w:t>
      </w:r>
      <w:r w:rsidRPr="003C5906">
        <w:rPr>
          <w:rFonts w:ascii="Times New Roman" w:hAnsi="Times New Roman"/>
          <w:sz w:val="26"/>
          <w:szCs w:val="26"/>
        </w:rPr>
        <w:t xml:space="preserve"> информационных и аналитических материалов. </w:t>
      </w:r>
    </w:p>
    <w:p w:rsidR="000C0A96" w:rsidRPr="003C5906" w:rsidRDefault="000C0A96" w:rsidP="006244EB">
      <w:pPr>
        <w:spacing w:after="0" w:line="240" w:lineRule="auto"/>
        <w:ind w:firstLine="709"/>
        <w:jc w:val="both"/>
        <w:rPr>
          <w:rFonts w:ascii="Times New Roman" w:hAnsi="Times New Roman"/>
          <w:sz w:val="26"/>
          <w:szCs w:val="26"/>
        </w:rPr>
      </w:pPr>
      <w:r w:rsidRPr="003C5906">
        <w:rPr>
          <w:rFonts w:ascii="Times New Roman" w:hAnsi="Times New Roman"/>
          <w:sz w:val="26"/>
          <w:szCs w:val="26"/>
        </w:rPr>
        <w:t>Кроме того, в течение 201</w:t>
      </w:r>
      <w:r w:rsidR="003C5906" w:rsidRPr="003C5906">
        <w:rPr>
          <w:rFonts w:ascii="Times New Roman" w:hAnsi="Times New Roman"/>
          <w:sz w:val="26"/>
          <w:szCs w:val="26"/>
        </w:rPr>
        <w:t>9</w:t>
      </w:r>
      <w:r w:rsidRPr="003C5906">
        <w:rPr>
          <w:rFonts w:ascii="Times New Roman" w:hAnsi="Times New Roman"/>
          <w:sz w:val="26"/>
          <w:szCs w:val="26"/>
        </w:rPr>
        <w:t xml:space="preserve"> года в Счетную палату Российской Федерации и в комиссии Совета контрольно-счетных органов при Счетной палате Российской Федерации</w:t>
      </w:r>
      <w:r w:rsidRPr="003C5906">
        <w:t xml:space="preserve"> </w:t>
      </w:r>
      <w:r w:rsidRPr="003C5906">
        <w:rPr>
          <w:rFonts w:ascii="Times New Roman" w:hAnsi="Times New Roman"/>
          <w:sz w:val="26"/>
          <w:szCs w:val="26"/>
        </w:rPr>
        <w:t xml:space="preserve">направлялись аналитические материалы, подготовленные по запросам. </w:t>
      </w:r>
    </w:p>
    <w:p w:rsidR="000C0A96" w:rsidRDefault="003D5C44" w:rsidP="006244EB">
      <w:pPr>
        <w:spacing w:after="0" w:line="240" w:lineRule="auto"/>
        <w:ind w:firstLine="709"/>
        <w:jc w:val="both"/>
        <w:rPr>
          <w:rFonts w:ascii="Times New Roman" w:hAnsi="Times New Roman"/>
          <w:sz w:val="16"/>
          <w:szCs w:val="16"/>
        </w:rPr>
      </w:pPr>
      <w:r>
        <w:rPr>
          <w:rFonts w:ascii="Times New Roman" w:hAnsi="Times New Roman"/>
          <w:sz w:val="26"/>
          <w:szCs w:val="26"/>
        </w:rPr>
        <w:t>В</w:t>
      </w:r>
      <w:r w:rsidR="000C0A96" w:rsidRPr="003D5C44">
        <w:rPr>
          <w:rFonts w:ascii="Times New Roman" w:hAnsi="Times New Roman"/>
          <w:sz w:val="26"/>
          <w:szCs w:val="26"/>
        </w:rPr>
        <w:t xml:space="preserve"> течение </w:t>
      </w:r>
      <w:r>
        <w:rPr>
          <w:rFonts w:ascii="Times New Roman" w:hAnsi="Times New Roman"/>
          <w:sz w:val="26"/>
          <w:szCs w:val="26"/>
        </w:rPr>
        <w:t>отчетного периода</w:t>
      </w:r>
      <w:r w:rsidR="000C0A96" w:rsidRPr="003D5C44">
        <w:rPr>
          <w:rFonts w:ascii="Times New Roman" w:hAnsi="Times New Roman"/>
          <w:sz w:val="26"/>
          <w:szCs w:val="26"/>
        </w:rPr>
        <w:t xml:space="preserve"> осуществлена актуализация </w:t>
      </w:r>
      <w:r w:rsidRPr="003D5C44">
        <w:rPr>
          <w:rFonts w:ascii="Times New Roman" w:hAnsi="Times New Roman"/>
          <w:sz w:val="26"/>
          <w:szCs w:val="26"/>
        </w:rPr>
        <w:t>двух</w:t>
      </w:r>
      <w:r w:rsidR="000C0A96" w:rsidRPr="003D5C44">
        <w:rPr>
          <w:rFonts w:ascii="Times New Roman" w:hAnsi="Times New Roman"/>
          <w:sz w:val="26"/>
          <w:szCs w:val="26"/>
        </w:rPr>
        <w:t xml:space="preserve"> стандартов внешнего государственного финансового контроля. Разработаны и приняты </w:t>
      </w:r>
      <w:r w:rsidRPr="003D5C44">
        <w:rPr>
          <w:rFonts w:ascii="Times New Roman" w:hAnsi="Times New Roman"/>
          <w:sz w:val="26"/>
          <w:szCs w:val="26"/>
        </w:rPr>
        <w:t xml:space="preserve">три </w:t>
      </w:r>
      <w:r w:rsidR="000C0A96" w:rsidRPr="003D5C44">
        <w:rPr>
          <w:rFonts w:ascii="Times New Roman" w:hAnsi="Times New Roman"/>
          <w:sz w:val="26"/>
          <w:szCs w:val="26"/>
        </w:rPr>
        <w:t>новы</w:t>
      </w:r>
      <w:r w:rsidRPr="003D5C44">
        <w:rPr>
          <w:rFonts w:ascii="Times New Roman" w:hAnsi="Times New Roman"/>
          <w:sz w:val="26"/>
          <w:szCs w:val="26"/>
        </w:rPr>
        <w:t>х</w:t>
      </w:r>
      <w:r w:rsidR="000C0A96" w:rsidRPr="003D5C44">
        <w:rPr>
          <w:rFonts w:ascii="Times New Roman" w:hAnsi="Times New Roman"/>
          <w:sz w:val="26"/>
          <w:szCs w:val="26"/>
        </w:rPr>
        <w:t xml:space="preserve"> стандарт</w:t>
      </w:r>
      <w:r w:rsidRPr="003D5C44">
        <w:rPr>
          <w:rFonts w:ascii="Times New Roman" w:hAnsi="Times New Roman"/>
          <w:sz w:val="26"/>
          <w:szCs w:val="26"/>
        </w:rPr>
        <w:t>а</w:t>
      </w:r>
      <w:r w:rsidR="000C0A96" w:rsidRPr="003D5C44">
        <w:rPr>
          <w:rFonts w:ascii="Times New Roman" w:hAnsi="Times New Roman"/>
          <w:sz w:val="26"/>
          <w:szCs w:val="26"/>
        </w:rPr>
        <w:t xml:space="preserve"> внешнего государственного финансового контроля. </w:t>
      </w:r>
    </w:p>
    <w:p w:rsidR="00114BEE" w:rsidRPr="00114BEE" w:rsidRDefault="00114BEE" w:rsidP="006244EB">
      <w:pPr>
        <w:spacing w:after="0" w:line="240" w:lineRule="auto"/>
        <w:ind w:firstLine="709"/>
        <w:jc w:val="both"/>
        <w:rPr>
          <w:rFonts w:ascii="Times New Roman" w:hAnsi="Times New Roman"/>
          <w:sz w:val="16"/>
          <w:szCs w:val="16"/>
        </w:rPr>
      </w:pPr>
    </w:p>
    <w:p w:rsidR="00DE5709" w:rsidRPr="00DE5709" w:rsidRDefault="00DE5709" w:rsidP="00DE5709">
      <w:pPr>
        <w:spacing w:after="0" w:line="240" w:lineRule="auto"/>
        <w:ind w:firstLine="709"/>
        <w:jc w:val="both"/>
        <w:rPr>
          <w:rFonts w:ascii="Times New Roman" w:hAnsi="Times New Roman"/>
          <w:sz w:val="26"/>
          <w:szCs w:val="26"/>
        </w:rPr>
      </w:pPr>
      <w:r w:rsidRPr="00DE5709">
        <w:rPr>
          <w:rFonts w:ascii="Times New Roman" w:hAnsi="Times New Roman"/>
          <w:b/>
          <w:sz w:val="26"/>
          <w:szCs w:val="26"/>
        </w:rPr>
        <w:t>3.</w:t>
      </w:r>
      <w:r w:rsidRPr="00DE5709">
        <w:rPr>
          <w:rFonts w:ascii="Times New Roman" w:hAnsi="Times New Roman"/>
          <w:sz w:val="26"/>
          <w:szCs w:val="26"/>
        </w:rPr>
        <w:t xml:space="preserve"> В разрезе Классификатора нарушений, выявляемых в ходе внешнего государственного аудита (контроля), одобренного Советом контрольно-счетных органов при Счетной палате Российской Федерации 17 декабря 2014 года (в редакции от 22 декабря 2015 года; далее – Классификатор нарушений), в 2019 году выявлено 267 нарушений в финансово-бюджетной сфере (из них 43 нарушени</w:t>
      </w:r>
      <w:r w:rsidR="009262F3">
        <w:rPr>
          <w:rFonts w:ascii="Times New Roman" w:hAnsi="Times New Roman"/>
          <w:sz w:val="26"/>
          <w:szCs w:val="26"/>
        </w:rPr>
        <w:t>я</w:t>
      </w:r>
      <w:r w:rsidRPr="00DE5709">
        <w:rPr>
          <w:rFonts w:ascii="Times New Roman" w:hAnsi="Times New Roman"/>
          <w:sz w:val="26"/>
          <w:szCs w:val="26"/>
        </w:rPr>
        <w:t xml:space="preserve">, или 16,1 %, имеющих стоимостную оценку). </w:t>
      </w:r>
    </w:p>
    <w:p w:rsidR="00DE5709" w:rsidRPr="00DE5709" w:rsidRDefault="00DE5709" w:rsidP="00DE5709">
      <w:pPr>
        <w:spacing w:after="0" w:line="240" w:lineRule="auto"/>
        <w:ind w:firstLine="709"/>
        <w:jc w:val="both"/>
        <w:rPr>
          <w:rFonts w:ascii="Times New Roman" w:hAnsi="Times New Roman"/>
          <w:sz w:val="26"/>
          <w:szCs w:val="26"/>
        </w:rPr>
      </w:pPr>
      <w:r w:rsidRPr="00DE5709">
        <w:rPr>
          <w:rFonts w:ascii="Times New Roman" w:hAnsi="Times New Roman"/>
          <w:sz w:val="26"/>
          <w:szCs w:val="26"/>
        </w:rPr>
        <w:t xml:space="preserve">Нарушения в стоимостном выражении (без суммы неэффективного использования бюджетных средств) составили </w:t>
      </w:r>
      <w:r w:rsidR="009262F3">
        <w:rPr>
          <w:rFonts w:ascii="Times New Roman" w:hAnsi="Times New Roman"/>
          <w:sz w:val="26"/>
          <w:szCs w:val="26"/>
        </w:rPr>
        <w:t>730 443,5</w:t>
      </w:r>
      <w:r w:rsidRPr="00DE5709">
        <w:rPr>
          <w:rFonts w:ascii="Times New Roman" w:hAnsi="Times New Roman"/>
          <w:sz w:val="26"/>
          <w:szCs w:val="26"/>
        </w:rPr>
        <w:t xml:space="preserve"> тыс. рублей,</w:t>
      </w:r>
      <w:r w:rsidRPr="00DE5709">
        <w:t xml:space="preserve"> </w:t>
      </w:r>
      <w:r w:rsidRPr="00DE5709">
        <w:rPr>
          <w:rFonts w:ascii="Times New Roman" w:hAnsi="Times New Roman"/>
          <w:sz w:val="26"/>
          <w:szCs w:val="26"/>
        </w:rPr>
        <w:t xml:space="preserve">из них сумма нарушений, подлежащая возврату 730,8 тыс. рублей. В 2019 году сумма возмещенных средств, в том числе по мероприятиям за 2018 год, не вошедших в отчеты за предыдущие периоды, составила 926,1 тыс. рублей.  </w:t>
      </w:r>
    </w:p>
    <w:p w:rsidR="00DE5709" w:rsidRPr="00DE5709" w:rsidRDefault="00DE5709" w:rsidP="00DE5709">
      <w:pPr>
        <w:spacing w:after="0" w:line="240" w:lineRule="auto"/>
        <w:ind w:firstLine="709"/>
        <w:jc w:val="both"/>
        <w:rPr>
          <w:rFonts w:ascii="Times New Roman" w:hAnsi="Times New Roman"/>
          <w:sz w:val="26"/>
          <w:szCs w:val="26"/>
        </w:rPr>
      </w:pPr>
      <w:r w:rsidRPr="00DE5709">
        <w:rPr>
          <w:rFonts w:ascii="Times New Roman" w:hAnsi="Times New Roman"/>
          <w:sz w:val="26"/>
          <w:szCs w:val="26"/>
        </w:rPr>
        <w:t>Распределение нарушений имеющим и не имеющим стоимостную оценку по группам Классификатора нарушений представлено в таблице.</w:t>
      </w:r>
    </w:p>
    <w:tbl>
      <w:tblPr>
        <w:tblW w:w="9654" w:type="dxa"/>
        <w:tblInd w:w="93" w:type="dxa"/>
        <w:tblLook w:val="04A0" w:firstRow="1" w:lastRow="0" w:firstColumn="1" w:lastColumn="0" w:noHBand="0" w:noVBand="1"/>
      </w:tblPr>
      <w:tblGrid>
        <w:gridCol w:w="5260"/>
        <w:gridCol w:w="1134"/>
        <w:gridCol w:w="1559"/>
        <w:gridCol w:w="1701"/>
      </w:tblGrid>
      <w:tr w:rsidR="00DE5709" w:rsidRPr="00DE5709" w:rsidTr="00406B97">
        <w:trPr>
          <w:trHeight w:val="300"/>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jc w:val="center"/>
              <w:rPr>
                <w:rFonts w:ascii="Times New Roman" w:hAnsi="Times New Roman"/>
                <w:color w:val="000000"/>
                <w:sz w:val="20"/>
                <w:szCs w:val="20"/>
              </w:rPr>
            </w:pPr>
            <w:r w:rsidRPr="00DE5709">
              <w:rPr>
                <w:rFonts w:ascii="Times New Roman" w:hAnsi="Times New Roman"/>
                <w:color w:val="000000"/>
                <w:sz w:val="20"/>
                <w:szCs w:val="20"/>
              </w:rPr>
              <w:t xml:space="preserve">Выявлено нарушений по группам Классификатора нарушений </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sz w:val="20"/>
                <w:szCs w:val="20"/>
              </w:rPr>
            </w:pPr>
            <w:r w:rsidRPr="00DE5709">
              <w:rPr>
                <w:rFonts w:ascii="Times New Roman" w:hAnsi="Times New Roman"/>
                <w:color w:val="000000"/>
                <w:sz w:val="20"/>
                <w:szCs w:val="20"/>
              </w:rPr>
              <w:t>Количество нарушений</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jc w:val="center"/>
              <w:rPr>
                <w:rFonts w:ascii="Times New Roman" w:hAnsi="Times New Roman"/>
                <w:color w:val="000000"/>
                <w:sz w:val="20"/>
                <w:szCs w:val="20"/>
              </w:rPr>
            </w:pPr>
            <w:r w:rsidRPr="00DE5709">
              <w:rPr>
                <w:rFonts w:ascii="Times New Roman" w:hAnsi="Times New Roman"/>
                <w:color w:val="000000"/>
                <w:sz w:val="20"/>
                <w:szCs w:val="20"/>
              </w:rPr>
              <w:t>Стоимостная оценка нарушений, тыс. рублей</w:t>
            </w:r>
          </w:p>
        </w:tc>
      </w:tr>
      <w:tr w:rsidR="00DE5709" w:rsidRPr="00DE5709" w:rsidTr="00406B97">
        <w:trPr>
          <w:trHeight w:val="102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DE5709" w:rsidRPr="00DE5709" w:rsidRDefault="00DE5709" w:rsidP="00DE5709">
            <w:pPr>
              <w:spacing w:after="0" w:line="240" w:lineRule="auto"/>
              <w:rPr>
                <w:rFonts w:ascii="Times New Roman" w:hAnsi="Times New Roman"/>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jc w:val="center"/>
              <w:rPr>
                <w:rFonts w:ascii="Times New Roman" w:hAnsi="Times New Roman"/>
                <w:color w:val="000000"/>
                <w:sz w:val="20"/>
                <w:szCs w:val="20"/>
              </w:rPr>
            </w:pPr>
            <w:r w:rsidRPr="00DE5709">
              <w:rPr>
                <w:rFonts w:ascii="Times New Roman" w:hAnsi="Times New Roman"/>
                <w:color w:val="000000"/>
                <w:sz w:val="20"/>
                <w:szCs w:val="20"/>
              </w:rPr>
              <w:t>Всего</w:t>
            </w:r>
          </w:p>
        </w:tc>
        <w:tc>
          <w:tcPr>
            <w:tcW w:w="1559" w:type="dxa"/>
            <w:tcBorders>
              <w:top w:val="nil"/>
              <w:left w:val="nil"/>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rPr>
                <w:rFonts w:ascii="Times New Roman" w:hAnsi="Times New Roman"/>
                <w:color w:val="000000"/>
                <w:sz w:val="20"/>
                <w:szCs w:val="20"/>
              </w:rPr>
            </w:pPr>
            <w:r w:rsidRPr="00DE5709">
              <w:rPr>
                <w:rFonts w:ascii="Times New Roman" w:hAnsi="Times New Roman"/>
                <w:color w:val="000000"/>
                <w:sz w:val="20"/>
                <w:szCs w:val="20"/>
              </w:rPr>
              <w:t xml:space="preserve"> в том числе имеющие стоимостную оценку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E5709" w:rsidRPr="00DE5709" w:rsidRDefault="00DE5709" w:rsidP="00DE5709">
            <w:pPr>
              <w:spacing w:after="0" w:line="240" w:lineRule="auto"/>
              <w:rPr>
                <w:rFonts w:ascii="Times New Roman" w:hAnsi="Times New Roman"/>
                <w:color w:val="000000"/>
                <w:sz w:val="20"/>
                <w:szCs w:val="20"/>
              </w:rPr>
            </w:pPr>
          </w:p>
        </w:tc>
      </w:tr>
      <w:tr w:rsidR="00DE5709" w:rsidRPr="00DE5709" w:rsidTr="00406B97">
        <w:trPr>
          <w:trHeight w:val="53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rPr>
                <w:rFonts w:ascii="Times New Roman" w:hAnsi="Times New Roman"/>
                <w:color w:val="000000"/>
              </w:rPr>
            </w:pPr>
            <w:r w:rsidRPr="00DE5709">
              <w:rPr>
                <w:rFonts w:ascii="Times New Roman" w:hAnsi="Times New Roman"/>
                <w:color w:val="000000"/>
              </w:rPr>
              <w:t>Нарушения при формировании и исполнении бюджетов</w:t>
            </w:r>
            <w:r w:rsidR="009262F3">
              <w:rPr>
                <w:rFonts w:ascii="Times New Roman" w:hAnsi="Times New Roman"/>
                <w:color w:val="000000"/>
              </w:rPr>
              <w:t>, из них</w:t>
            </w:r>
          </w:p>
        </w:tc>
        <w:tc>
          <w:tcPr>
            <w:tcW w:w="1134"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121</w:t>
            </w:r>
          </w:p>
        </w:tc>
        <w:tc>
          <w:tcPr>
            <w:tcW w:w="1559"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19</w:t>
            </w:r>
          </w:p>
        </w:tc>
        <w:tc>
          <w:tcPr>
            <w:tcW w:w="1701" w:type="dxa"/>
            <w:tcBorders>
              <w:top w:val="nil"/>
              <w:left w:val="nil"/>
              <w:bottom w:val="single" w:sz="4" w:space="0" w:color="auto"/>
              <w:right w:val="single" w:sz="4" w:space="0" w:color="auto"/>
            </w:tcBorders>
            <w:shd w:val="clear" w:color="auto" w:fill="auto"/>
            <w:vAlign w:val="center"/>
            <w:hideMark/>
          </w:tcPr>
          <w:p w:rsidR="00DE5709" w:rsidRPr="00DE5709" w:rsidRDefault="00A45010" w:rsidP="00DE5709">
            <w:pPr>
              <w:spacing w:after="0" w:line="240" w:lineRule="auto"/>
              <w:jc w:val="center"/>
              <w:rPr>
                <w:rFonts w:ascii="Times New Roman" w:hAnsi="Times New Roman"/>
                <w:color w:val="000000"/>
              </w:rPr>
            </w:pPr>
            <w:r>
              <w:rPr>
                <w:rFonts w:ascii="Times New Roman" w:hAnsi="Times New Roman"/>
                <w:color w:val="000000"/>
              </w:rPr>
              <w:t>218 145,9</w:t>
            </w:r>
          </w:p>
        </w:tc>
      </w:tr>
      <w:tr w:rsidR="009262F3" w:rsidRPr="00DE5709" w:rsidTr="009262F3">
        <w:trPr>
          <w:trHeight w:val="399"/>
        </w:trPr>
        <w:tc>
          <w:tcPr>
            <w:tcW w:w="5260" w:type="dxa"/>
            <w:tcBorders>
              <w:top w:val="nil"/>
              <w:left w:val="single" w:sz="4" w:space="0" w:color="auto"/>
              <w:bottom w:val="single" w:sz="4" w:space="0" w:color="auto"/>
              <w:right w:val="single" w:sz="4" w:space="0" w:color="auto"/>
            </w:tcBorders>
            <w:shd w:val="clear" w:color="auto" w:fill="auto"/>
            <w:vAlign w:val="center"/>
          </w:tcPr>
          <w:p w:rsidR="009262F3" w:rsidRPr="00DE5709" w:rsidRDefault="00A45010" w:rsidP="00DE5709">
            <w:pPr>
              <w:spacing w:after="0" w:line="240" w:lineRule="auto"/>
              <w:rPr>
                <w:rFonts w:ascii="Times New Roman" w:hAnsi="Times New Roman"/>
                <w:color w:val="000000"/>
              </w:rPr>
            </w:pPr>
            <w:r>
              <w:rPr>
                <w:rFonts w:ascii="Times New Roman" w:hAnsi="Times New Roman"/>
                <w:color w:val="000000"/>
              </w:rPr>
              <w:t xml:space="preserve">- </w:t>
            </w:r>
            <w:r w:rsidRPr="00A45010">
              <w:rPr>
                <w:rFonts w:ascii="Times New Roman" w:hAnsi="Times New Roman"/>
                <w:color w:val="000000"/>
              </w:rPr>
              <w:t>при формировании бюджетов</w:t>
            </w:r>
          </w:p>
        </w:tc>
        <w:tc>
          <w:tcPr>
            <w:tcW w:w="1134" w:type="dxa"/>
            <w:tcBorders>
              <w:top w:val="nil"/>
              <w:left w:val="nil"/>
              <w:bottom w:val="single" w:sz="4" w:space="0" w:color="auto"/>
              <w:right w:val="single" w:sz="4" w:space="0" w:color="auto"/>
            </w:tcBorders>
            <w:shd w:val="clear" w:color="auto" w:fill="auto"/>
            <w:noWrap/>
            <w:vAlign w:val="center"/>
          </w:tcPr>
          <w:p w:rsidR="009262F3" w:rsidRPr="00DE5709" w:rsidRDefault="00372518" w:rsidP="00DE5709">
            <w:pPr>
              <w:spacing w:after="0" w:line="240" w:lineRule="auto"/>
              <w:jc w:val="center"/>
              <w:rPr>
                <w:rFonts w:ascii="Times New Roman" w:hAnsi="Times New Roman"/>
                <w:color w:val="000000"/>
              </w:rPr>
            </w:pPr>
            <w:r>
              <w:rPr>
                <w:rFonts w:ascii="Times New Roman" w:hAnsi="Times New Roman"/>
                <w:color w:val="000000"/>
              </w:rPr>
              <w:t>34</w:t>
            </w:r>
          </w:p>
        </w:tc>
        <w:tc>
          <w:tcPr>
            <w:tcW w:w="1559" w:type="dxa"/>
            <w:tcBorders>
              <w:top w:val="nil"/>
              <w:left w:val="nil"/>
              <w:bottom w:val="single" w:sz="4" w:space="0" w:color="auto"/>
              <w:right w:val="single" w:sz="4" w:space="0" w:color="auto"/>
            </w:tcBorders>
            <w:shd w:val="clear" w:color="auto" w:fill="auto"/>
            <w:noWrap/>
            <w:vAlign w:val="center"/>
          </w:tcPr>
          <w:p w:rsidR="009262F3" w:rsidRPr="00DE5709" w:rsidRDefault="00A45010" w:rsidP="00DE5709">
            <w:pPr>
              <w:spacing w:after="0" w:line="240" w:lineRule="auto"/>
              <w:jc w:val="center"/>
              <w:rPr>
                <w:rFonts w:ascii="Times New Roman" w:hAnsi="Times New Roman"/>
                <w:color w:val="000000"/>
              </w:rPr>
            </w:pPr>
            <w:r>
              <w:rPr>
                <w:rFonts w:ascii="Times New Roman" w:hAnsi="Times New Roman"/>
                <w:color w:val="000000"/>
              </w:rPr>
              <w:t>0</w:t>
            </w:r>
          </w:p>
        </w:tc>
        <w:tc>
          <w:tcPr>
            <w:tcW w:w="1701" w:type="dxa"/>
            <w:tcBorders>
              <w:top w:val="nil"/>
              <w:left w:val="nil"/>
              <w:bottom w:val="single" w:sz="4" w:space="0" w:color="auto"/>
              <w:right w:val="single" w:sz="4" w:space="0" w:color="auto"/>
            </w:tcBorders>
            <w:shd w:val="clear" w:color="auto" w:fill="auto"/>
            <w:vAlign w:val="center"/>
          </w:tcPr>
          <w:p w:rsidR="009262F3" w:rsidRPr="00DE5709" w:rsidRDefault="00A45010" w:rsidP="00DE5709">
            <w:pPr>
              <w:spacing w:after="0" w:line="240" w:lineRule="auto"/>
              <w:jc w:val="center"/>
              <w:rPr>
                <w:rFonts w:ascii="Times New Roman" w:hAnsi="Times New Roman"/>
                <w:color w:val="000000"/>
              </w:rPr>
            </w:pPr>
            <w:r>
              <w:rPr>
                <w:rFonts w:ascii="Times New Roman" w:hAnsi="Times New Roman"/>
                <w:color w:val="000000"/>
              </w:rPr>
              <w:t>0,0</w:t>
            </w:r>
          </w:p>
        </w:tc>
      </w:tr>
      <w:tr w:rsidR="009262F3" w:rsidRPr="00DE5709" w:rsidTr="009262F3">
        <w:trPr>
          <w:trHeight w:val="420"/>
        </w:trPr>
        <w:tc>
          <w:tcPr>
            <w:tcW w:w="5260" w:type="dxa"/>
            <w:tcBorders>
              <w:top w:val="nil"/>
              <w:left w:val="single" w:sz="4" w:space="0" w:color="auto"/>
              <w:bottom w:val="single" w:sz="4" w:space="0" w:color="auto"/>
              <w:right w:val="single" w:sz="4" w:space="0" w:color="auto"/>
            </w:tcBorders>
            <w:shd w:val="clear" w:color="auto" w:fill="auto"/>
            <w:vAlign w:val="center"/>
          </w:tcPr>
          <w:p w:rsidR="009262F3" w:rsidRPr="00DE5709" w:rsidRDefault="00A45010" w:rsidP="00DE5709">
            <w:pPr>
              <w:spacing w:after="0" w:line="240" w:lineRule="auto"/>
              <w:rPr>
                <w:rFonts w:ascii="Times New Roman" w:hAnsi="Times New Roman"/>
                <w:color w:val="000000"/>
              </w:rPr>
            </w:pPr>
            <w:r>
              <w:rPr>
                <w:rFonts w:ascii="Times New Roman" w:hAnsi="Times New Roman"/>
                <w:color w:val="000000"/>
              </w:rPr>
              <w:t xml:space="preserve">- </w:t>
            </w:r>
            <w:r w:rsidRPr="00DE5709">
              <w:rPr>
                <w:rFonts w:ascii="Times New Roman" w:hAnsi="Times New Roman"/>
                <w:color w:val="000000"/>
              </w:rPr>
              <w:t>при</w:t>
            </w:r>
            <w:r>
              <w:rPr>
                <w:rFonts w:ascii="Times New Roman" w:hAnsi="Times New Roman"/>
                <w:color w:val="000000"/>
              </w:rPr>
              <w:t xml:space="preserve"> </w:t>
            </w:r>
            <w:r w:rsidRPr="00DE5709">
              <w:rPr>
                <w:rFonts w:ascii="Times New Roman" w:hAnsi="Times New Roman"/>
                <w:color w:val="000000"/>
              </w:rPr>
              <w:t>исполнении бюджетов</w:t>
            </w:r>
          </w:p>
        </w:tc>
        <w:tc>
          <w:tcPr>
            <w:tcW w:w="1134" w:type="dxa"/>
            <w:tcBorders>
              <w:top w:val="nil"/>
              <w:left w:val="nil"/>
              <w:bottom w:val="single" w:sz="4" w:space="0" w:color="auto"/>
              <w:right w:val="single" w:sz="4" w:space="0" w:color="auto"/>
            </w:tcBorders>
            <w:shd w:val="clear" w:color="auto" w:fill="auto"/>
            <w:noWrap/>
            <w:vAlign w:val="center"/>
          </w:tcPr>
          <w:p w:rsidR="009262F3" w:rsidRPr="00DE5709" w:rsidRDefault="00372518" w:rsidP="00DE5709">
            <w:pPr>
              <w:spacing w:after="0" w:line="240" w:lineRule="auto"/>
              <w:jc w:val="center"/>
              <w:rPr>
                <w:rFonts w:ascii="Times New Roman" w:hAnsi="Times New Roman"/>
                <w:color w:val="000000"/>
              </w:rPr>
            </w:pPr>
            <w:r>
              <w:rPr>
                <w:rFonts w:ascii="Times New Roman" w:hAnsi="Times New Roman"/>
                <w:color w:val="000000"/>
              </w:rPr>
              <w:t>87</w:t>
            </w:r>
          </w:p>
        </w:tc>
        <w:tc>
          <w:tcPr>
            <w:tcW w:w="1559" w:type="dxa"/>
            <w:tcBorders>
              <w:top w:val="nil"/>
              <w:left w:val="nil"/>
              <w:bottom w:val="single" w:sz="4" w:space="0" w:color="auto"/>
              <w:right w:val="single" w:sz="4" w:space="0" w:color="auto"/>
            </w:tcBorders>
            <w:shd w:val="clear" w:color="auto" w:fill="auto"/>
            <w:noWrap/>
            <w:vAlign w:val="center"/>
          </w:tcPr>
          <w:p w:rsidR="009262F3" w:rsidRPr="00DE5709" w:rsidRDefault="00A45010" w:rsidP="00DE5709">
            <w:pPr>
              <w:spacing w:after="0" w:line="240" w:lineRule="auto"/>
              <w:jc w:val="center"/>
              <w:rPr>
                <w:rFonts w:ascii="Times New Roman" w:hAnsi="Times New Roman"/>
                <w:color w:val="000000"/>
              </w:rPr>
            </w:pPr>
            <w:r>
              <w:rPr>
                <w:rFonts w:ascii="Times New Roman" w:hAnsi="Times New Roman"/>
                <w:color w:val="000000"/>
              </w:rPr>
              <w:t>19</w:t>
            </w:r>
          </w:p>
        </w:tc>
        <w:tc>
          <w:tcPr>
            <w:tcW w:w="1701" w:type="dxa"/>
            <w:tcBorders>
              <w:top w:val="nil"/>
              <w:left w:val="nil"/>
              <w:bottom w:val="single" w:sz="4" w:space="0" w:color="auto"/>
              <w:right w:val="single" w:sz="4" w:space="0" w:color="auto"/>
            </w:tcBorders>
            <w:shd w:val="clear" w:color="auto" w:fill="auto"/>
            <w:vAlign w:val="center"/>
          </w:tcPr>
          <w:p w:rsidR="009262F3" w:rsidRPr="00DE5709" w:rsidRDefault="00A45010" w:rsidP="00DE5709">
            <w:pPr>
              <w:spacing w:after="0" w:line="240" w:lineRule="auto"/>
              <w:jc w:val="center"/>
              <w:rPr>
                <w:rFonts w:ascii="Times New Roman" w:hAnsi="Times New Roman"/>
                <w:color w:val="000000"/>
              </w:rPr>
            </w:pPr>
            <w:r>
              <w:rPr>
                <w:rFonts w:ascii="Times New Roman" w:hAnsi="Times New Roman"/>
                <w:color w:val="000000"/>
              </w:rPr>
              <w:t>218 145,9</w:t>
            </w:r>
          </w:p>
        </w:tc>
      </w:tr>
      <w:tr w:rsidR="00DE5709" w:rsidRPr="00DE5709" w:rsidTr="00406B97">
        <w:trPr>
          <w:trHeight w:val="854"/>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rPr>
                <w:rFonts w:ascii="Times New Roman" w:hAnsi="Times New Roman"/>
                <w:color w:val="000000"/>
              </w:rPr>
            </w:pPr>
            <w:r w:rsidRPr="00DE5709">
              <w:rPr>
                <w:rFonts w:ascii="Times New Roman" w:hAnsi="Times New Roman"/>
                <w:color w:val="000000"/>
              </w:rPr>
              <w:t>Нарушения ведения бухгалтерского учета, составления и представления бухгалтерской отчетности</w:t>
            </w:r>
          </w:p>
        </w:tc>
        <w:tc>
          <w:tcPr>
            <w:tcW w:w="1134"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10</w:t>
            </w:r>
          </w:p>
        </w:tc>
        <w:tc>
          <w:tcPr>
            <w:tcW w:w="1559"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6</w:t>
            </w:r>
          </w:p>
        </w:tc>
        <w:tc>
          <w:tcPr>
            <w:tcW w:w="1701" w:type="dxa"/>
            <w:tcBorders>
              <w:top w:val="nil"/>
              <w:left w:val="nil"/>
              <w:bottom w:val="single" w:sz="4" w:space="0" w:color="auto"/>
              <w:right w:val="single" w:sz="4" w:space="0" w:color="auto"/>
            </w:tcBorders>
            <w:shd w:val="clear" w:color="auto" w:fill="auto"/>
            <w:vAlign w:val="center"/>
            <w:hideMark/>
          </w:tcPr>
          <w:p w:rsidR="00DE5709" w:rsidRPr="00DE5709" w:rsidRDefault="00A45010" w:rsidP="00DE5709">
            <w:pPr>
              <w:spacing w:after="0" w:line="240" w:lineRule="auto"/>
              <w:jc w:val="center"/>
              <w:rPr>
                <w:rFonts w:ascii="Times New Roman" w:hAnsi="Times New Roman"/>
                <w:color w:val="000000"/>
              </w:rPr>
            </w:pPr>
            <w:r>
              <w:rPr>
                <w:rFonts w:ascii="Times New Roman" w:hAnsi="Times New Roman"/>
                <w:color w:val="000000"/>
              </w:rPr>
              <w:t>23 393,3</w:t>
            </w:r>
          </w:p>
        </w:tc>
      </w:tr>
      <w:tr w:rsidR="00DE5709" w:rsidRPr="00DE5709" w:rsidTr="00406B97">
        <w:trPr>
          <w:trHeight w:val="683"/>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rPr>
                <w:rFonts w:ascii="Times New Roman" w:hAnsi="Times New Roman"/>
                <w:color w:val="000000"/>
              </w:rPr>
            </w:pPr>
            <w:r w:rsidRPr="00DE5709">
              <w:rPr>
                <w:rFonts w:ascii="Times New Roman" w:hAnsi="Times New Roman"/>
                <w:color w:val="000000"/>
              </w:rPr>
              <w:t>Нарушения в сфере управления и распоряжения государственной собственностью</w:t>
            </w:r>
          </w:p>
        </w:tc>
        <w:tc>
          <w:tcPr>
            <w:tcW w:w="1134"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99</w:t>
            </w:r>
          </w:p>
        </w:tc>
        <w:tc>
          <w:tcPr>
            <w:tcW w:w="1559"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12</w:t>
            </w:r>
          </w:p>
        </w:tc>
        <w:tc>
          <w:tcPr>
            <w:tcW w:w="1701" w:type="dxa"/>
            <w:tcBorders>
              <w:top w:val="nil"/>
              <w:left w:val="nil"/>
              <w:bottom w:val="single" w:sz="4" w:space="0" w:color="auto"/>
              <w:right w:val="single" w:sz="4" w:space="0" w:color="auto"/>
            </w:tcBorders>
            <w:shd w:val="clear" w:color="auto" w:fill="auto"/>
            <w:vAlign w:val="center"/>
            <w:hideMark/>
          </w:tcPr>
          <w:p w:rsidR="00DE5709" w:rsidRPr="00DE5709" w:rsidRDefault="00A45010" w:rsidP="00DE5709">
            <w:pPr>
              <w:spacing w:after="0" w:line="240" w:lineRule="auto"/>
              <w:jc w:val="center"/>
              <w:rPr>
                <w:rFonts w:ascii="Times New Roman" w:hAnsi="Times New Roman"/>
                <w:color w:val="000000"/>
              </w:rPr>
            </w:pPr>
            <w:r>
              <w:rPr>
                <w:rFonts w:ascii="Times New Roman" w:hAnsi="Times New Roman"/>
                <w:color w:val="000000"/>
              </w:rPr>
              <w:t>67 310,8</w:t>
            </w:r>
          </w:p>
        </w:tc>
      </w:tr>
      <w:tr w:rsidR="00DE5709" w:rsidRPr="00DE5709" w:rsidTr="00406B97">
        <w:trPr>
          <w:trHeight w:val="56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rPr>
                <w:rFonts w:ascii="Times New Roman" w:hAnsi="Times New Roman"/>
                <w:color w:val="000000"/>
              </w:rPr>
            </w:pPr>
            <w:r w:rsidRPr="00DE5709">
              <w:rPr>
                <w:rFonts w:ascii="Times New Roman" w:hAnsi="Times New Roman"/>
                <w:color w:val="000000"/>
              </w:rPr>
              <w:t>Нарушения при осуществлении государственных закупок</w:t>
            </w:r>
          </w:p>
        </w:tc>
        <w:tc>
          <w:tcPr>
            <w:tcW w:w="1134"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33</w:t>
            </w:r>
          </w:p>
        </w:tc>
        <w:tc>
          <w:tcPr>
            <w:tcW w:w="1559"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5</w:t>
            </w:r>
          </w:p>
        </w:tc>
        <w:tc>
          <w:tcPr>
            <w:tcW w:w="1701" w:type="dxa"/>
            <w:tcBorders>
              <w:top w:val="nil"/>
              <w:left w:val="nil"/>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421 590,8</w:t>
            </w:r>
          </w:p>
        </w:tc>
      </w:tr>
      <w:tr w:rsidR="00DE5709" w:rsidRPr="00DE5709" w:rsidTr="00406B97">
        <w:trPr>
          <w:trHeight w:val="300"/>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rPr>
                <w:rFonts w:ascii="Times New Roman" w:hAnsi="Times New Roman"/>
                <w:color w:val="000000"/>
              </w:rPr>
            </w:pPr>
            <w:r w:rsidRPr="00DE5709">
              <w:rPr>
                <w:rFonts w:ascii="Times New Roman" w:hAnsi="Times New Roman"/>
                <w:color w:val="000000"/>
              </w:rPr>
              <w:t>Иные нарушения</w:t>
            </w:r>
          </w:p>
        </w:tc>
        <w:tc>
          <w:tcPr>
            <w:tcW w:w="1134"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3</w:t>
            </w:r>
          </w:p>
        </w:tc>
        <w:tc>
          <w:tcPr>
            <w:tcW w:w="1559"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0</w:t>
            </w:r>
          </w:p>
        </w:tc>
        <w:tc>
          <w:tcPr>
            <w:tcW w:w="1701" w:type="dxa"/>
            <w:tcBorders>
              <w:top w:val="nil"/>
              <w:left w:val="nil"/>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0,0</w:t>
            </w:r>
          </w:p>
        </w:tc>
      </w:tr>
      <w:tr w:rsidR="00DE5709" w:rsidRPr="00DE5709" w:rsidTr="00406B97">
        <w:trPr>
          <w:trHeight w:val="53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rPr>
                <w:rFonts w:ascii="Times New Roman" w:hAnsi="Times New Roman"/>
                <w:color w:val="000000"/>
              </w:rPr>
            </w:pPr>
            <w:r w:rsidRPr="00DE5709">
              <w:rPr>
                <w:rFonts w:ascii="Times New Roman" w:hAnsi="Times New Roman"/>
                <w:color w:val="000000"/>
              </w:rPr>
              <w:t>Нецелевое использование бюджетных средств</w:t>
            </w:r>
          </w:p>
        </w:tc>
        <w:tc>
          <w:tcPr>
            <w:tcW w:w="1134"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1</w:t>
            </w:r>
          </w:p>
        </w:tc>
        <w:tc>
          <w:tcPr>
            <w:tcW w:w="1559"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1</w:t>
            </w:r>
          </w:p>
        </w:tc>
        <w:tc>
          <w:tcPr>
            <w:tcW w:w="1701" w:type="dxa"/>
            <w:tcBorders>
              <w:top w:val="nil"/>
              <w:left w:val="nil"/>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2,7</w:t>
            </w:r>
          </w:p>
        </w:tc>
      </w:tr>
      <w:tr w:rsidR="00DE5709" w:rsidRPr="00DE5709" w:rsidTr="00406B97">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DE5709" w:rsidRPr="00DE5709" w:rsidRDefault="00DE5709" w:rsidP="00DE5709">
            <w:pPr>
              <w:spacing w:after="0" w:line="240" w:lineRule="auto"/>
              <w:rPr>
                <w:rFonts w:ascii="Times New Roman" w:hAnsi="Times New Roman"/>
                <w:color w:val="000000"/>
              </w:rPr>
            </w:pPr>
            <w:r w:rsidRPr="00DE5709">
              <w:rPr>
                <w:rFonts w:ascii="Times New Roman" w:hAnsi="Times New Roman"/>
                <w:color w:val="000000"/>
              </w:rPr>
              <w:t>Всего</w:t>
            </w:r>
          </w:p>
        </w:tc>
        <w:tc>
          <w:tcPr>
            <w:tcW w:w="1134"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267</w:t>
            </w:r>
          </w:p>
        </w:tc>
        <w:tc>
          <w:tcPr>
            <w:tcW w:w="1559" w:type="dxa"/>
            <w:tcBorders>
              <w:top w:val="nil"/>
              <w:left w:val="nil"/>
              <w:bottom w:val="single" w:sz="4" w:space="0" w:color="auto"/>
              <w:right w:val="single" w:sz="4" w:space="0" w:color="auto"/>
            </w:tcBorders>
            <w:shd w:val="clear" w:color="auto" w:fill="auto"/>
            <w:noWrap/>
            <w:vAlign w:val="center"/>
            <w:hideMark/>
          </w:tcPr>
          <w:p w:rsidR="00DE5709" w:rsidRPr="00DE5709" w:rsidRDefault="00DE5709" w:rsidP="00DE5709">
            <w:pPr>
              <w:spacing w:after="0" w:line="240" w:lineRule="auto"/>
              <w:jc w:val="center"/>
              <w:rPr>
                <w:rFonts w:ascii="Times New Roman" w:hAnsi="Times New Roman"/>
                <w:color w:val="000000"/>
              </w:rPr>
            </w:pPr>
            <w:r w:rsidRPr="00DE5709">
              <w:rPr>
                <w:rFonts w:ascii="Times New Roman" w:hAnsi="Times New Roman"/>
                <w:color w:val="000000"/>
              </w:rPr>
              <w:t>43</w:t>
            </w:r>
          </w:p>
        </w:tc>
        <w:tc>
          <w:tcPr>
            <w:tcW w:w="1701" w:type="dxa"/>
            <w:tcBorders>
              <w:top w:val="nil"/>
              <w:left w:val="nil"/>
              <w:bottom w:val="single" w:sz="4" w:space="0" w:color="auto"/>
              <w:right w:val="single" w:sz="4" w:space="0" w:color="auto"/>
            </w:tcBorders>
            <w:shd w:val="clear" w:color="auto" w:fill="auto"/>
            <w:noWrap/>
            <w:vAlign w:val="center"/>
            <w:hideMark/>
          </w:tcPr>
          <w:p w:rsidR="00DE5709" w:rsidRPr="00DE5709" w:rsidRDefault="00A45010" w:rsidP="00DE5709">
            <w:pPr>
              <w:spacing w:after="0" w:line="240" w:lineRule="auto"/>
              <w:jc w:val="center"/>
              <w:rPr>
                <w:rFonts w:ascii="Times New Roman" w:hAnsi="Times New Roman"/>
                <w:color w:val="000000"/>
              </w:rPr>
            </w:pPr>
            <w:r>
              <w:rPr>
                <w:rFonts w:ascii="Times New Roman" w:hAnsi="Times New Roman"/>
                <w:color w:val="000000"/>
              </w:rPr>
              <w:t>730 443,5</w:t>
            </w:r>
          </w:p>
        </w:tc>
      </w:tr>
    </w:tbl>
    <w:p w:rsidR="00DE5709" w:rsidRPr="00DE5709" w:rsidRDefault="00DE5709" w:rsidP="00DE5709">
      <w:pPr>
        <w:spacing w:after="0" w:line="240" w:lineRule="auto"/>
        <w:ind w:firstLine="709"/>
        <w:jc w:val="both"/>
        <w:rPr>
          <w:rFonts w:ascii="Times New Roman" w:hAnsi="Times New Roman"/>
          <w:sz w:val="26"/>
          <w:szCs w:val="26"/>
        </w:rPr>
      </w:pPr>
    </w:p>
    <w:p w:rsidR="00DE5709" w:rsidRPr="00DE5709" w:rsidRDefault="00DE5709" w:rsidP="00DE5709">
      <w:pPr>
        <w:spacing w:after="0" w:line="240" w:lineRule="auto"/>
        <w:ind w:firstLine="709"/>
        <w:jc w:val="both"/>
        <w:rPr>
          <w:rFonts w:ascii="Times New Roman" w:hAnsi="Times New Roman"/>
          <w:sz w:val="26"/>
          <w:szCs w:val="26"/>
        </w:rPr>
      </w:pPr>
      <w:r w:rsidRPr="00DE5709">
        <w:rPr>
          <w:rFonts w:ascii="Times New Roman" w:hAnsi="Times New Roman"/>
          <w:sz w:val="26"/>
          <w:szCs w:val="26"/>
        </w:rPr>
        <w:lastRenderedPageBreak/>
        <w:t>Информация о проведенных мероприятиях и выявленных финансовых нарушениях по группам Классификатора нарушений за 2019 год представлена в Приложении № 2 к отчету.</w:t>
      </w:r>
    </w:p>
    <w:p w:rsidR="00DE5709" w:rsidRPr="00DE5709" w:rsidRDefault="00DE5709" w:rsidP="00DE5709">
      <w:pPr>
        <w:spacing w:after="0" w:line="240" w:lineRule="auto"/>
        <w:ind w:firstLine="709"/>
        <w:jc w:val="both"/>
        <w:rPr>
          <w:rFonts w:ascii="Times New Roman" w:hAnsi="Times New Roman"/>
          <w:sz w:val="26"/>
          <w:szCs w:val="26"/>
        </w:rPr>
      </w:pPr>
      <w:r w:rsidRPr="00DE5709">
        <w:rPr>
          <w:rFonts w:ascii="Times New Roman" w:hAnsi="Times New Roman"/>
          <w:sz w:val="26"/>
          <w:szCs w:val="26"/>
        </w:rPr>
        <w:t xml:space="preserve">В структуре нарушений в </w:t>
      </w:r>
      <w:r w:rsidRPr="00DE5709">
        <w:rPr>
          <w:rFonts w:ascii="Times New Roman" w:hAnsi="Times New Roman"/>
          <w:i/>
          <w:sz w:val="26"/>
          <w:szCs w:val="26"/>
        </w:rPr>
        <w:t>стоимостном выражении</w:t>
      </w:r>
      <w:r w:rsidRPr="00DE5709">
        <w:rPr>
          <w:rFonts w:ascii="Times New Roman" w:hAnsi="Times New Roman"/>
          <w:sz w:val="26"/>
          <w:szCs w:val="26"/>
        </w:rPr>
        <w:t xml:space="preserve"> (в общей сумме </w:t>
      </w:r>
      <w:r w:rsidR="00A45010" w:rsidRPr="00A45010">
        <w:rPr>
          <w:rFonts w:ascii="Times New Roman" w:hAnsi="Times New Roman"/>
          <w:sz w:val="26"/>
          <w:szCs w:val="26"/>
        </w:rPr>
        <w:t>730 443,5</w:t>
      </w:r>
      <w:r w:rsidR="00A45010">
        <w:rPr>
          <w:rFonts w:ascii="Times New Roman" w:hAnsi="Times New Roman"/>
          <w:sz w:val="26"/>
          <w:szCs w:val="26"/>
        </w:rPr>
        <w:t xml:space="preserve"> </w:t>
      </w:r>
      <w:r w:rsidRPr="00DE5709">
        <w:rPr>
          <w:rFonts w:ascii="Times New Roman" w:hAnsi="Times New Roman"/>
          <w:sz w:val="26"/>
          <w:szCs w:val="26"/>
        </w:rPr>
        <w:t>тыс. рублей) наибольшая доля приходится на нарушени</w:t>
      </w:r>
      <w:r w:rsidR="0060710A">
        <w:rPr>
          <w:rFonts w:ascii="Times New Roman" w:hAnsi="Times New Roman"/>
          <w:sz w:val="26"/>
          <w:szCs w:val="26"/>
        </w:rPr>
        <w:t>я</w:t>
      </w:r>
      <w:r w:rsidRPr="00DE5709">
        <w:rPr>
          <w:rFonts w:ascii="Times New Roman" w:hAnsi="Times New Roman"/>
          <w:sz w:val="26"/>
          <w:szCs w:val="26"/>
        </w:rPr>
        <w:t>,</w:t>
      </w:r>
      <w:r w:rsidR="0060710A">
        <w:rPr>
          <w:rFonts w:ascii="Times New Roman" w:hAnsi="Times New Roman"/>
          <w:sz w:val="26"/>
          <w:szCs w:val="26"/>
        </w:rPr>
        <w:t xml:space="preserve"> допущенные</w:t>
      </w:r>
      <w:r w:rsidRPr="00DE5709">
        <w:rPr>
          <w:rFonts w:ascii="Times New Roman" w:hAnsi="Times New Roman"/>
          <w:sz w:val="26"/>
          <w:szCs w:val="26"/>
        </w:rPr>
        <w:t xml:space="preserve"> при осуществлении государственных закупок</w:t>
      </w:r>
      <w:r w:rsidR="0060710A">
        <w:rPr>
          <w:rFonts w:ascii="Times New Roman" w:hAnsi="Times New Roman"/>
          <w:sz w:val="26"/>
          <w:szCs w:val="26"/>
        </w:rPr>
        <w:t xml:space="preserve"> </w:t>
      </w:r>
      <w:r w:rsidR="0060710A" w:rsidRPr="00DE5709">
        <w:rPr>
          <w:rFonts w:ascii="Times New Roman" w:hAnsi="Times New Roman"/>
          <w:sz w:val="26"/>
          <w:szCs w:val="26"/>
        </w:rPr>
        <w:t>–</w:t>
      </w:r>
      <w:r w:rsidR="0060710A" w:rsidRPr="00DE5709">
        <w:rPr>
          <w:sz w:val="26"/>
          <w:szCs w:val="26"/>
        </w:rPr>
        <w:t xml:space="preserve"> </w:t>
      </w:r>
      <w:r w:rsidR="00A45010">
        <w:rPr>
          <w:rFonts w:ascii="Times New Roman" w:hAnsi="Times New Roman"/>
          <w:sz w:val="26"/>
          <w:szCs w:val="26"/>
        </w:rPr>
        <w:t>57,7</w:t>
      </w:r>
      <w:r w:rsidR="0060710A">
        <w:rPr>
          <w:rFonts w:ascii="Times New Roman" w:hAnsi="Times New Roman"/>
          <w:sz w:val="26"/>
          <w:szCs w:val="26"/>
        </w:rPr>
        <w:t> </w:t>
      </w:r>
      <w:r w:rsidR="0060710A" w:rsidRPr="00DE5709">
        <w:rPr>
          <w:rFonts w:ascii="Times New Roman" w:hAnsi="Times New Roman"/>
          <w:sz w:val="26"/>
          <w:szCs w:val="26"/>
        </w:rPr>
        <w:t>% (421 590,8 тыс. рублей)</w:t>
      </w:r>
      <w:r w:rsidR="00EC4F66">
        <w:rPr>
          <w:rFonts w:ascii="Times New Roman" w:hAnsi="Times New Roman"/>
          <w:sz w:val="26"/>
          <w:szCs w:val="26"/>
        </w:rPr>
        <w:t xml:space="preserve"> и</w:t>
      </w:r>
      <w:r w:rsidRPr="00DE5709">
        <w:rPr>
          <w:rFonts w:ascii="Times New Roman" w:hAnsi="Times New Roman"/>
          <w:sz w:val="26"/>
          <w:szCs w:val="26"/>
        </w:rPr>
        <w:t xml:space="preserve"> при формировании и исполнении бюджетов</w:t>
      </w:r>
      <w:r w:rsidR="00EC4F66">
        <w:rPr>
          <w:rFonts w:ascii="Times New Roman" w:hAnsi="Times New Roman"/>
          <w:sz w:val="26"/>
          <w:szCs w:val="26"/>
        </w:rPr>
        <w:t xml:space="preserve"> –</w:t>
      </w:r>
      <w:r w:rsidRPr="00DE5709">
        <w:rPr>
          <w:rFonts w:ascii="Times New Roman" w:hAnsi="Times New Roman"/>
          <w:sz w:val="26"/>
          <w:szCs w:val="26"/>
        </w:rPr>
        <w:t xml:space="preserve"> 29,</w:t>
      </w:r>
      <w:r w:rsidR="00A45010">
        <w:rPr>
          <w:rFonts w:ascii="Times New Roman" w:hAnsi="Times New Roman"/>
          <w:sz w:val="26"/>
          <w:szCs w:val="26"/>
        </w:rPr>
        <w:t>9</w:t>
      </w:r>
      <w:r w:rsidR="00EC4F66">
        <w:rPr>
          <w:rFonts w:ascii="Times New Roman" w:hAnsi="Times New Roman"/>
          <w:sz w:val="26"/>
          <w:szCs w:val="26"/>
        </w:rPr>
        <w:t> </w:t>
      </w:r>
      <w:r w:rsidRPr="00DE5709">
        <w:rPr>
          <w:rFonts w:ascii="Times New Roman" w:hAnsi="Times New Roman"/>
          <w:sz w:val="26"/>
          <w:szCs w:val="26"/>
        </w:rPr>
        <w:t>% (</w:t>
      </w:r>
      <w:r w:rsidR="00A45010" w:rsidRPr="00A45010">
        <w:rPr>
          <w:rFonts w:ascii="Times New Roman" w:hAnsi="Times New Roman"/>
          <w:sz w:val="26"/>
          <w:szCs w:val="26"/>
        </w:rPr>
        <w:t>218 145,9</w:t>
      </w:r>
      <w:r w:rsidR="00A45010">
        <w:rPr>
          <w:rFonts w:ascii="Times New Roman" w:hAnsi="Times New Roman"/>
          <w:sz w:val="26"/>
          <w:szCs w:val="26"/>
        </w:rPr>
        <w:t xml:space="preserve"> </w:t>
      </w:r>
      <w:r w:rsidRPr="00DE5709">
        <w:rPr>
          <w:rFonts w:ascii="Times New Roman" w:hAnsi="Times New Roman"/>
          <w:sz w:val="26"/>
          <w:szCs w:val="26"/>
        </w:rPr>
        <w:t xml:space="preserve">тыс. рублей). </w:t>
      </w:r>
    </w:p>
    <w:p w:rsidR="00FE4469" w:rsidRPr="004F2876" w:rsidRDefault="00FE4469" w:rsidP="006244EB">
      <w:pPr>
        <w:spacing w:after="0" w:line="240" w:lineRule="auto"/>
        <w:ind w:firstLine="709"/>
        <w:jc w:val="both"/>
        <w:rPr>
          <w:rFonts w:ascii="Times New Roman" w:hAnsi="Times New Roman"/>
          <w:sz w:val="16"/>
          <w:szCs w:val="16"/>
          <w:highlight w:val="yellow"/>
        </w:rPr>
      </w:pPr>
    </w:p>
    <w:p w:rsidR="00FE4469" w:rsidRDefault="00056623" w:rsidP="006244EB">
      <w:pPr>
        <w:spacing w:after="0" w:line="240" w:lineRule="auto"/>
        <w:ind w:firstLine="709"/>
        <w:jc w:val="both"/>
        <w:rPr>
          <w:rFonts w:ascii="Times New Roman" w:hAnsi="Times New Roman"/>
          <w:sz w:val="26"/>
          <w:szCs w:val="26"/>
        </w:rPr>
      </w:pPr>
      <w:r w:rsidRPr="00A81228">
        <w:rPr>
          <w:rFonts w:ascii="Times New Roman" w:hAnsi="Times New Roman"/>
          <w:sz w:val="26"/>
          <w:szCs w:val="26"/>
        </w:rPr>
        <w:t>Удельный вес</w:t>
      </w:r>
      <w:r w:rsidR="00FE4469" w:rsidRPr="00A81228">
        <w:rPr>
          <w:rFonts w:ascii="Times New Roman" w:hAnsi="Times New Roman"/>
          <w:sz w:val="26"/>
          <w:szCs w:val="26"/>
        </w:rPr>
        <w:t xml:space="preserve"> </w:t>
      </w:r>
      <w:r w:rsidR="00FE4469" w:rsidRPr="00AE4BB2">
        <w:rPr>
          <w:rFonts w:ascii="Times New Roman" w:hAnsi="Times New Roman"/>
          <w:i/>
          <w:sz w:val="26"/>
          <w:szCs w:val="26"/>
        </w:rPr>
        <w:t>количества</w:t>
      </w:r>
      <w:r w:rsidR="00FE4469" w:rsidRPr="00A81228">
        <w:rPr>
          <w:rFonts w:ascii="Times New Roman" w:hAnsi="Times New Roman"/>
          <w:sz w:val="26"/>
          <w:szCs w:val="26"/>
        </w:rPr>
        <w:t xml:space="preserve"> выявленных нарушений по группам Классификатора нарушений относительно общего количества (</w:t>
      </w:r>
      <w:r w:rsidR="00A81228" w:rsidRPr="00A81228">
        <w:rPr>
          <w:rFonts w:ascii="Times New Roman" w:hAnsi="Times New Roman"/>
          <w:sz w:val="26"/>
          <w:szCs w:val="26"/>
        </w:rPr>
        <w:t>2</w:t>
      </w:r>
      <w:r w:rsidR="00014FCC">
        <w:rPr>
          <w:rFonts w:ascii="Times New Roman" w:hAnsi="Times New Roman"/>
          <w:sz w:val="26"/>
          <w:szCs w:val="26"/>
        </w:rPr>
        <w:t>6</w:t>
      </w:r>
      <w:r w:rsidR="00A81228" w:rsidRPr="00A81228">
        <w:rPr>
          <w:rFonts w:ascii="Times New Roman" w:hAnsi="Times New Roman"/>
          <w:sz w:val="26"/>
          <w:szCs w:val="26"/>
        </w:rPr>
        <w:t>7</w:t>
      </w:r>
      <w:r w:rsidR="00FE4469" w:rsidRPr="00A81228">
        <w:rPr>
          <w:rFonts w:ascii="Times New Roman" w:hAnsi="Times New Roman"/>
          <w:sz w:val="26"/>
          <w:szCs w:val="26"/>
        </w:rPr>
        <w:t xml:space="preserve"> нарушений) представлены </w:t>
      </w:r>
      <w:r w:rsidR="00007613" w:rsidRPr="00A81228">
        <w:rPr>
          <w:rFonts w:ascii="Times New Roman" w:hAnsi="Times New Roman"/>
          <w:sz w:val="26"/>
          <w:szCs w:val="26"/>
        </w:rPr>
        <w:t>на</w:t>
      </w:r>
      <w:r w:rsidR="00FE4469" w:rsidRPr="00A81228">
        <w:rPr>
          <w:rFonts w:ascii="Times New Roman" w:hAnsi="Times New Roman"/>
          <w:sz w:val="26"/>
          <w:szCs w:val="26"/>
        </w:rPr>
        <w:t xml:space="preserve"> диаграмме. </w:t>
      </w:r>
    </w:p>
    <w:p w:rsidR="00014FCC" w:rsidRDefault="00014FCC" w:rsidP="006244EB">
      <w:pPr>
        <w:spacing w:after="0" w:line="240" w:lineRule="auto"/>
        <w:ind w:firstLine="709"/>
        <w:jc w:val="both"/>
        <w:rPr>
          <w:rFonts w:ascii="Times New Roman" w:hAnsi="Times New Roman"/>
          <w:sz w:val="26"/>
          <w:szCs w:val="26"/>
        </w:rPr>
      </w:pPr>
    </w:p>
    <w:p w:rsidR="00014FCC" w:rsidRDefault="00220457" w:rsidP="006244EB">
      <w:pPr>
        <w:spacing w:after="0" w:line="240" w:lineRule="auto"/>
        <w:ind w:firstLine="709"/>
        <w:jc w:val="both"/>
        <w:rPr>
          <w:rFonts w:ascii="Times New Roman" w:hAnsi="Times New Roman"/>
          <w:sz w:val="26"/>
          <w:szCs w:val="26"/>
        </w:rPr>
      </w:pPr>
      <w:r>
        <w:rPr>
          <w:noProof/>
        </w:rPr>
        <w:drawing>
          <wp:inline distT="0" distB="0" distL="0" distR="0">
            <wp:extent cx="5837555" cy="4277360"/>
            <wp:effectExtent l="0" t="0" r="0" b="0"/>
            <wp:docPr id="3" name="Рисунок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14FCC" w:rsidRDefault="00014FCC" w:rsidP="006244EB">
      <w:pPr>
        <w:spacing w:after="0" w:line="240" w:lineRule="auto"/>
        <w:ind w:firstLine="709"/>
        <w:jc w:val="both"/>
        <w:rPr>
          <w:rFonts w:ascii="Times New Roman" w:hAnsi="Times New Roman"/>
          <w:sz w:val="26"/>
          <w:szCs w:val="26"/>
        </w:rPr>
      </w:pPr>
    </w:p>
    <w:p w:rsidR="00FE4469" w:rsidRPr="00A81228" w:rsidRDefault="00FE4469" w:rsidP="006244EB">
      <w:pPr>
        <w:spacing w:after="0" w:line="240" w:lineRule="auto"/>
        <w:ind w:firstLine="709"/>
        <w:jc w:val="both"/>
        <w:rPr>
          <w:rFonts w:ascii="Times New Roman" w:hAnsi="Times New Roman"/>
          <w:sz w:val="26"/>
          <w:szCs w:val="26"/>
        </w:rPr>
      </w:pPr>
      <w:r w:rsidRPr="00A81228">
        <w:rPr>
          <w:rFonts w:ascii="Times New Roman" w:hAnsi="Times New Roman"/>
          <w:sz w:val="26"/>
          <w:szCs w:val="26"/>
        </w:rPr>
        <w:t>По количественному показателю наибольшая часть нарушений (</w:t>
      </w:r>
      <w:r w:rsidR="00A81228">
        <w:rPr>
          <w:rFonts w:ascii="Times New Roman" w:hAnsi="Times New Roman"/>
          <w:sz w:val="26"/>
          <w:szCs w:val="26"/>
        </w:rPr>
        <w:t>1</w:t>
      </w:r>
      <w:r w:rsidR="00014FCC">
        <w:rPr>
          <w:rFonts w:ascii="Times New Roman" w:hAnsi="Times New Roman"/>
          <w:sz w:val="26"/>
          <w:szCs w:val="26"/>
        </w:rPr>
        <w:t>2</w:t>
      </w:r>
      <w:r w:rsidR="00A81228">
        <w:rPr>
          <w:rFonts w:ascii="Times New Roman" w:hAnsi="Times New Roman"/>
          <w:sz w:val="26"/>
          <w:szCs w:val="26"/>
        </w:rPr>
        <w:t>1</w:t>
      </w:r>
      <w:r w:rsidRPr="00A81228">
        <w:rPr>
          <w:rFonts w:ascii="Times New Roman" w:hAnsi="Times New Roman"/>
          <w:sz w:val="26"/>
          <w:szCs w:val="26"/>
        </w:rPr>
        <w:t xml:space="preserve"> нарушени</w:t>
      </w:r>
      <w:r w:rsidR="00007613" w:rsidRPr="00A81228">
        <w:rPr>
          <w:rFonts w:ascii="Times New Roman" w:hAnsi="Times New Roman"/>
          <w:sz w:val="26"/>
          <w:szCs w:val="26"/>
        </w:rPr>
        <w:t>й</w:t>
      </w:r>
      <w:r w:rsidRPr="00A81228">
        <w:rPr>
          <w:rFonts w:ascii="Times New Roman" w:hAnsi="Times New Roman"/>
          <w:sz w:val="26"/>
          <w:szCs w:val="26"/>
        </w:rPr>
        <w:t xml:space="preserve">, или </w:t>
      </w:r>
      <w:r w:rsidR="00A81228">
        <w:rPr>
          <w:rFonts w:ascii="Times New Roman" w:hAnsi="Times New Roman"/>
          <w:sz w:val="26"/>
          <w:szCs w:val="26"/>
        </w:rPr>
        <w:t>4</w:t>
      </w:r>
      <w:r w:rsidR="00014FCC">
        <w:rPr>
          <w:rFonts w:ascii="Times New Roman" w:hAnsi="Times New Roman"/>
          <w:sz w:val="26"/>
          <w:szCs w:val="26"/>
        </w:rPr>
        <w:t>5</w:t>
      </w:r>
      <w:r w:rsidR="00A81228">
        <w:rPr>
          <w:rFonts w:ascii="Times New Roman" w:hAnsi="Times New Roman"/>
          <w:sz w:val="26"/>
          <w:szCs w:val="26"/>
        </w:rPr>
        <w:t>,</w:t>
      </w:r>
      <w:r w:rsidR="00014FCC">
        <w:rPr>
          <w:rFonts w:ascii="Times New Roman" w:hAnsi="Times New Roman"/>
          <w:sz w:val="26"/>
          <w:szCs w:val="26"/>
        </w:rPr>
        <w:t>3</w:t>
      </w:r>
      <w:r w:rsidRPr="00A81228">
        <w:rPr>
          <w:rFonts w:ascii="Times New Roman" w:hAnsi="Times New Roman"/>
          <w:sz w:val="26"/>
          <w:szCs w:val="26"/>
        </w:rPr>
        <w:t xml:space="preserve"> % от общего количества) отнесена к нарушениям при формировании и исполнении бюджетов. Второй по количеству нарушений показатель (</w:t>
      </w:r>
      <w:r w:rsidR="00A81228">
        <w:rPr>
          <w:rFonts w:ascii="Times New Roman" w:hAnsi="Times New Roman"/>
          <w:sz w:val="26"/>
          <w:szCs w:val="26"/>
        </w:rPr>
        <w:t>99</w:t>
      </w:r>
      <w:r w:rsidRPr="00A81228">
        <w:rPr>
          <w:rFonts w:ascii="Times New Roman" w:hAnsi="Times New Roman"/>
          <w:sz w:val="26"/>
          <w:szCs w:val="26"/>
        </w:rPr>
        <w:t xml:space="preserve"> нарушени</w:t>
      </w:r>
      <w:r w:rsidR="00A81228">
        <w:rPr>
          <w:rFonts w:ascii="Times New Roman" w:hAnsi="Times New Roman"/>
          <w:sz w:val="26"/>
          <w:szCs w:val="26"/>
        </w:rPr>
        <w:t>й</w:t>
      </w:r>
      <w:r w:rsidR="00007613" w:rsidRPr="00A81228">
        <w:rPr>
          <w:rFonts w:ascii="Times New Roman" w:hAnsi="Times New Roman"/>
          <w:sz w:val="26"/>
          <w:szCs w:val="26"/>
        </w:rPr>
        <w:t>,</w:t>
      </w:r>
      <w:r w:rsidRPr="00A81228">
        <w:rPr>
          <w:rFonts w:ascii="Times New Roman" w:hAnsi="Times New Roman"/>
          <w:sz w:val="26"/>
          <w:szCs w:val="26"/>
        </w:rPr>
        <w:t xml:space="preserve"> или </w:t>
      </w:r>
      <w:r w:rsidR="00014FCC">
        <w:rPr>
          <w:rFonts w:ascii="Times New Roman" w:hAnsi="Times New Roman"/>
          <w:sz w:val="26"/>
          <w:szCs w:val="26"/>
        </w:rPr>
        <w:t>37,1</w:t>
      </w:r>
      <w:r w:rsidRPr="00A81228">
        <w:rPr>
          <w:rFonts w:ascii="Times New Roman" w:hAnsi="Times New Roman"/>
          <w:sz w:val="26"/>
          <w:szCs w:val="26"/>
        </w:rPr>
        <w:t xml:space="preserve"> % от общего количества) отнесен к </w:t>
      </w:r>
      <w:r w:rsidR="00A81228">
        <w:rPr>
          <w:rFonts w:ascii="Times New Roman" w:hAnsi="Times New Roman"/>
          <w:sz w:val="26"/>
          <w:szCs w:val="26"/>
        </w:rPr>
        <w:t>3</w:t>
      </w:r>
      <w:r w:rsidRPr="00A81228">
        <w:rPr>
          <w:rFonts w:ascii="Times New Roman" w:hAnsi="Times New Roman"/>
          <w:sz w:val="26"/>
          <w:szCs w:val="26"/>
        </w:rPr>
        <w:t xml:space="preserve"> группе Классификатора нарушений - нарушения </w:t>
      </w:r>
      <w:r w:rsidR="00A81228" w:rsidRPr="00A81228">
        <w:rPr>
          <w:rFonts w:ascii="Times New Roman" w:hAnsi="Times New Roman"/>
          <w:sz w:val="26"/>
          <w:szCs w:val="26"/>
        </w:rPr>
        <w:t>в сфере управления и распоряжения государственной собственностью</w:t>
      </w:r>
      <w:r w:rsidRPr="00A81228">
        <w:rPr>
          <w:rFonts w:ascii="Times New Roman" w:hAnsi="Times New Roman"/>
          <w:sz w:val="26"/>
          <w:szCs w:val="26"/>
        </w:rPr>
        <w:t xml:space="preserve">. </w:t>
      </w:r>
    </w:p>
    <w:p w:rsidR="000C0A96" w:rsidRPr="00232387" w:rsidRDefault="000C0A96" w:rsidP="006244EB">
      <w:pPr>
        <w:spacing w:after="0" w:line="240" w:lineRule="auto"/>
        <w:ind w:firstLine="709"/>
        <w:jc w:val="both"/>
        <w:rPr>
          <w:rFonts w:ascii="Times New Roman" w:hAnsi="Times New Roman"/>
          <w:sz w:val="26"/>
          <w:szCs w:val="26"/>
        </w:rPr>
      </w:pPr>
      <w:r w:rsidRPr="00A81228">
        <w:rPr>
          <w:rFonts w:ascii="Times New Roman" w:hAnsi="Times New Roman"/>
          <w:sz w:val="26"/>
          <w:szCs w:val="26"/>
        </w:rPr>
        <w:t>Кроме</w:t>
      </w:r>
      <w:r w:rsidR="00EC4F66">
        <w:rPr>
          <w:rFonts w:ascii="Times New Roman" w:hAnsi="Times New Roman"/>
          <w:sz w:val="26"/>
          <w:szCs w:val="26"/>
        </w:rPr>
        <w:t xml:space="preserve"> финансовых</w:t>
      </w:r>
      <w:r w:rsidRPr="00A81228">
        <w:rPr>
          <w:rFonts w:ascii="Times New Roman" w:hAnsi="Times New Roman"/>
          <w:sz w:val="26"/>
          <w:szCs w:val="26"/>
        </w:rPr>
        <w:t xml:space="preserve"> нарушений</w:t>
      </w:r>
      <w:r w:rsidR="00EC4F66">
        <w:rPr>
          <w:rFonts w:ascii="Times New Roman" w:hAnsi="Times New Roman"/>
          <w:sz w:val="26"/>
          <w:szCs w:val="26"/>
        </w:rPr>
        <w:t xml:space="preserve"> </w:t>
      </w:r>
      <w:r w:rsidRPr="00A81228">
        <w:rPr>
          <w:rFonts w:ascii="Times New Roman" w:hAnsi="Times New Roman"/>
          <w:sz w:val="26"/>
          <w:szCs w:val="26"/>
        </w:rPr>
        <w:t>выявлен</w:t>
      </w:r>
      <w:r w:rsidR="00EC4F66">
        <w:rPr>
          <w:rFonts w:ascii="Times New Roman" w:hAnsi="Times New Roman"/>
          <w:sz w:val="26"/>
          <w:szCs w:val="26"/>
        </w:rPr>
        <w:t>о</w:t>
      </w:r>
      <w:r w:rsidRPr="00A81228">
        <w:rPr>
          <w:rFonts w:ascii="Times New Roman" w:hAnsi="Times New Roman"/>
          <w:sz w:val="26"/>
          <w:szCs w:val="26"/>
        </w:rPr>
        <w:t xml:space="preserve"> неэффективно</w:t>
      </w:r>
      <w:r w:rsidR="00EC4F66">
        <w:rPr>
          <w:rFonts w:ascii="Times New Roman" w:hAnsi="Times New Roman"/>
          <w:sz w:val="26"/>
          <w:szCs w:val="26"/>
        </w:rPr>
        <w:t>е</w:t>
      </w:r>
      <w:r w:rsidRPr="00A81228">
        <w:rPr>
          <w:rFonts w:ascii="Times New Roman" w:hAnsi="Times New Roman"/>
          <w:sz w:val="26"/>
          <w:szCs w:val="26"/>
        </w:rPr>
        <w:t xml:space="preserve"> и неэкономно</w:t>
      </w:r>
      <w:r w:rsidR="00EC4F66">
        <w:rPr>
          <w:rFonts w:ascii="Times New Roman" w:hAnsi="Times New Roman"/>
          <w:sz w:val="26"/>
          <w:szCs w:val="26"/>
        </w:rPr>
        <w:t>е</w:t>
      </w:r>
      <w:r w:rsidRPr="00A81228">
        <w:rPr>
          <w:rFonts w:ascii="Times New Roman" w:hAnsi="Times New Roman"/>
          <w:sz w:val="26"/>
          <w:szCs w:val="26"/>
        </w:rPr>
        <w:t xml:space="preserve"> использовани</w:t>
      </w:r>
      <w:r w:rsidR="00EC4F66">
        <w:rPr>
          <w:rFonts w:ascii="Times New Roman" w:hAnsi="Times New Roman"/>
          <w:sz w:val="26"/>
          <w:szCs w:val="26"/>
        </w:rPr>
        <w:t>е</w:t>
      </w:r>
      <w:r w:rsidRPr="00A81228">
        <w:rPr>
          <w:rFonts w:ascii="Times New Roman" w:hAnsi="Times New Roman"/>
          <w:sz w:val="26"/>
          <w:szCs w:val="26"/>
        </w:rPr>
        <w:t xml:space="preserve"> бюджетных средств </w:t>
      </w:r>
      <w:r w:rsidR="00EC4F66">
        <w:rPr>
          <w:rFonts w:ascii="Times New Roman" w:hAnsi="Times New Roman"/>
          <w:sz w:val="26"/>
          <w:szCs w:val="26"/>
        </w:rPr>
        <w:t xml:space="preserve">на </w:t>
      </w:r>
      <w:r w:rsidR="00EC4F66" w:rsidRPr="00A81228">
        <w:rPr>
          <w:rFonts w:ascii="Times New Roman" w:hAnsi="Times New Roman"/>
          <w:sz w:val="26"/>
          <w:szCs w:val="26"/>
        </w:rPr>
        <w:t>сумм</w:t>
      </w:r>
      <w:r w:rsidR="00EC4F66">
        <w:rPr>
          <w:rFonts w:ascii="Times New Roman" w:hAnsi="Times New Roman"/>
          <w:sz w:val="26"/>
          <w:szCs w:val="26"/>
        </w:rPr>
        <w:t>у</w:t>
      </w:r>
      <w:r w:rsidRPr="00A81228">
        <w:rPr>
          <w:rFonts w:ascii="Times New Roman" w:hAnsi="Times New Roman"/>
          <w:sz w:val="26"/>
          <w:szCs w:val="26"/>
        </w:rPr>
        <w:t xml:space="preserve"> </w:t>
      </w:r>
      <w:r w:rsidR="00A81228">
        <w:rPr>
          <w:rFonts w:ascii="Times New Roman" w:hAnsi="Times New Roman"/>
          <w:sz w:val="26"/>
          <w:szCs w:val="26"/>
        </w:rPr>
        <w:t>17 816,4</w:t>
      </w:r>
      <w:r w:rsidRPr="00A81228">
        <w:rPr>
          <w:rFonts w:ascii="Times New Roman" w:hAnsi="Times New Roman"/>
          <w:sz w:val="26"/>
          <w:szCs w:val="26"/>
        </w:rPr>
        <w:t xml:space="preserve"> тыс. рублей. Установленные в 201</w:t>
      </w:r>
      <w:r w:rsidR="00A81228">
        <w:rPr>
          <w:rFonts w:ascii="Times New Roman" w:hAnsi="Times New Roman"/>
          <w:sz w:val="26"/>
          <w:szCs w:val="26"/>
        </w:rPr>
        <w:t>9</w:t>
      </w:r>
      <w:r w:rsidRPr="00A81228">
        <w:rPr>
          <w:rFonts w:ascii="Times New Roman" w:hAnsi="Times New Roman"/>
          <w:sz w:val="26"/>
          <w:szCs w:val="26"/>
        </w:rPr>
        <w:t xml:space="preserve"> году факты неэффективного использования бюджетных средств в разрезе мероприятий представлены в </w:t>
      </w:r>
      <w:r w:rsidRPr="00232387">
        <w:rPr>
          <w:rFonts w:ascii="Times New Roman" w:hAnsi="Times New Roman"/>
          <w:sz w:val="26"/>
          <w:szCs w:val="26"/>
        </w:rPr>
        <w:t xml:space="preserve">Приложении № </w:t>
      </w:r>
      <w:r w:rsidR="00232387" w:rsidRPr="00232387">
        <w:rPr>
          <w:rFonts w:ascii="Times New Roman" w:hAnsi="Times New Roman"/>
          <w:sz w:val="26"/>
          <w:szCs w:val="26"/>
        </w:rPr>
        <w:t>3</w:t>
      </w:r>
      <w:r w:rsidRPr="00232387">
        <w:rPr>
          <w:rFonts w:ascii="Times New Roman" w:hAnsi="Times New Roman"/>
          <w:sz w:val="26"/>
          <w:szCs w:val="26"/>
        </w:rPr>
        <w:t xml:space="preserve"> к отчету.</w:t>
      </w:r>
    </w:p>
    <w:p w:rsidR="00FE4469" w:rsidRPr="004F2876" w:rsidRDefault="00FE4469" w:rsidP="006244EB">
      <w:pPr>
        <w:spacing w:after="0" w:line="120" w:lineRule="auto"/>
        <w:ind w:firstLine="709"/>
        <w:jc w:val="both"/>
        <w:rPr>
          <w:rFonts w:ascii="Times New Roman" w:hAnsi="Times New Roman"/>
          <w:sz w:val="26"/>
          <w:szCs w:val="26"/>
          <w:highlight w:val="yellow"/>
        </w:rPr>
      </w:pPr>
    </w:p>
    <w:p w:rsidR="00086732" w:rsidRPr="00010E0A" w:rsidRDefault="00FE4469" w:rsidP="006244EB">
      <w:pPr>
        <w:spacing w:after="0" w:line="240" w:lineRule="auto"/>
        <w:ind w:firstLine="709"/>
        <w:jc w:val="both"/>
        <w:rPr>
          <w:rFonts w:ascii="Times New Roman" w:hAnsi="Times New Roman"/>
          <w:sz w:val="26"/>
          <w:szCs w:val="26"/>
        </w:rPr>
      </w:pPr>
      <w:r w:rsidRPr="00F444E5">
        <w:rPr>
          <w:rFonts w:ascii="Times New Roman" w:hAnsi="Times New Roman"/>
          <w:b/>
          <w:sz w:val="26"/>
          <w:szCs w:val="26"/>
        </w:rPr>
        <w:t>4.</w:t>
      </w:r>
      <w:r w:rsidRPr="00F444E5">
        <w:rPr>
          <w:rFonts w:ascii="Times New Roman" w:hAnsi="Times New Roman"/>
          <w:sz w:val="26"/>
          <w:szCs w:val="26"/>
        </w:rPr>
        <w:t xml:space="preserve"> </w:t>
      </w:r>
      <w:r w:rsidR="00AE692F" w:rsidRPr="00010E0A">
        <w:rPr>
          <w:rFonts w:ascii="Times New Roman" w:hAnsi="Times New Roman"/>
          <w:sz w:val="26"/>
          <w:szCs w:val="26"/>
        </w:rPr>
        <w:t>На основании результатов мероприятий, проведенных в соответствии с планом работы на 201</w:t>
      </w:r>
      <w:r w:rsidR="00F444E5" w:rsidRPr="00010E0A">
        <w:rPr>
          <w:rFonts w:ascii="Times New Roman" w:hAnsi="Times New Roman"/>
          <w:sz w:val="26"/>
          <w:szCs w:val="26"/>
        </w:rPr>
        <w:t>9</w:t>
      </w:r>
      <w:r w:rsidR="00AE692F" w:rsidRPr="00010E0A">
        <w:rPr>
          <w:rFonts w:ascii="Times New Roman" w:hAnsi="Times New Roman"/>
          <w:sz w:val="26"/>
          <w:szCs w:val="26"/>
        </w:rPr>
        <w:t xml:space="preserve"> год, Счетной палатой направлено объектам контроля </w:t>
      </w:r>
      <w:r w:rsidR="00086732" w:rsidRPr="00010E0A">
        <w:rPr>
          <w:rFonts w:ascii="Times New Roman" w:hAnsi="Times New Roman"/>
          <w:sz w:val="26"/>
          <w:szCs w:val="26"/>
        </w:rPr>
        <w:t>2</w:t>
      </w:r>
      <w:r w:rsidR="00AE692F" w:rsidRPr="00010E0A">
        <w:rPr>
          <w:rFonts w:ascii="Times New Roman" w:hAnsi="Times New Roman"/>
          <w:sz w:val="26"/>
          <w:szCs w:val="26"/>
        </w:rPr>
        <w:t xml:space="preserve"> </w:t>
      </w:r>
      <w:r w:rsidR="00AE692F" w:rsidRPr="00010E0A">
        <w:rPr>
          <w:rFonts w:ascii="Times New Roman" w:hAnsi="Times New Roman"/>
          <w:sz w:val="26"/>
          <w:szCs w:val="26"/>
        </w:rPr>
        <w:lastRenderedPageBreak/>
        <w:t>представлени</w:t>
      </w:r>
      <w:r w:rsidR="00056623" w:rsidRPr="00010E0A">
        <w:rPr>
          <w:rFonts w:ascii="Times New Roman" w:hAnsi="Times New Roman"/>
          <w:sz w:val="26"/>
          <w:szCs w:val="26"/>
        </w:rPr>
        <w:t>я</w:t>
      </w:r>
      <w:r w:rsidR="00AE692F" w:rsidRPr="00010E0A">
        <w:rPr>
          <w:rFonts w:ascii="Times New Roman" w:hAnsi="Times New Roman"/>
          <w:sz w:val="26"/>
          <w:szCs w:val="26"/>
        </w:rPr>
        <w:t xml:space="preserve"> и </w:t>
      </w:r>
      <w:r w:rsidR="00086732" w:rsidRPr="00010E0A">
        <w:rPr>
          <w:rFonts w:ascii="Times New Roman" w:hAnsi="Times New Roman"/>
          <w:sz w:val="26"/>
          <w:szCs w:val="26"/>
        </w:rPr>
        <w:t>1</w:t>
      </w:r>
      <w:r w:rsidR="00AE692F" w:rsidRPr="00010E0A">
        <w:rPr>
          <w:rFonts w:ascii="Times New Roman" w:hAnsi="Times New Roman"/>
          <w:sz w:val="26"/>
          <w:szCs w:val="26"/>
        </w:rPr>
        <w:t xml:space="preserve"> предписани</w:t>
      </w:r>
      <w:r w:rsidR="00EC4F66">
        <w:rPr>
          <w:rFonts w:ascii="Times New Roman" w:hAnsi="Times New Roman"/>
          <w:sz w:val="26"/>
          <w:szCs w:val="26"/>
        </w:rPr>
        <w:t>е</w:t>
      </w:r>
      <w:r w:rsidR="00086732" w:rsidRPr="00010E0A">
        <w:rPr>
          <w:rFonts w:ascii="Times New Roman" w:hAnsi="Times New Roman"/>
          <w:sz w:val="26"/>
          <w:szCs w:val="26"/>
        </w:rPr>
        <w:t xml:space="preserve">, которые </w:t>
      </w:r>
      <w:r w:rsidR="00EC4F66">
        <w:rPr>
          <w:rFonts w:ascii="Times New Roman" w:hAnsi="Times New Roman"/>
          <w:sz w:val="26"/>
          <w:szCs w:val="26"/>
        </w:rPr>
        <w:t xml:space="preserve">исполнены и, </w:t>
      </w:r>
      <w:r w:rsidR="00086732" w:rsidRPr="00010E0A">
        <w:rPr>
          <w:rFonts w:ascii="Times New Roman" w:hAnsi="Times New Roman"/>
          <w:sz w:val="26"/>
          <w:szCs w:val="26"/>
        </w:rPr>
        <w:t>по результатам рассмотрения Коллегией Счетной палаты</w:t>
      </w:r>
      <w:r w:rsidR="00EC4F66">
        <w:rPr>
          <w:rFonts w:ascii="Times New Roman" w:hAnsi="Times New Roman"/>
          <w:sz w:val="26"/>
          <w:szCs w:val="26"/>
        </w:rPr>
        <w:t>,</w:t>
      </w:r>
      <w:r w:rsidR="00086732" w:rsidRPr="00010E0A">
        <w:rPr>
          <w:rFonts w:ascii="Times New Roman" w:hAnsi="Times New Roman"/>
          <w:sz w:val="26"/>
          <w:szCs w:val="26"/>
        </w:rPr>
        <w:t xml:space="preserve"> сняты с контроля.</w:t>
      </w:r>
    </w:p>
    <w:p w:rsidR="00FE4469" w:rsidRPr="00010E0A" w:rsidRDefault="00086732" w:rsidP="006244EB">
      <w:pPr>
        <w:spacing w:after="0" w:line="240" w:lineRule="auto"/>
        <w:ind w:firstLine="709"/>
        <w:jc w:val="both"/>
        <w:rPr>
          <w:rFonts w:ascii="Times New Roman" w:hAnsi="Times New Roman"/>
          <w:sz w:val="26"/>
          <w:szCs w:val="26"/>
        </w:rPr>
      </w:pPr>
      <w:r w:rsidRPr="00010E0A">
        <w:rPr>
          <w:rFonts w:ascii="Times New Roman" w:hAnsi="Times New Roman"/>
          <w:sz w:val="26"/>
          <w:szCs w:val="26"/>
        </w:rPr>
        <w:t>Итоги реализации представлений и предписаний ежеквартально подводятся н</w:t>
      </w:r>
      <w:r w:rsidR="00FE4469" w:rsidRPr="00010E0A">
        <w:rPr>
          <w:rFonts w:ascii="Times New Roman" w:hAnsi="Times New Roman"/>
          <w:sz w:val="26"/>
          <w:szCs w:val="26"/>
        </w:rPr>
        <w:t>а заседаниях Коллегии Счетной палаты. Информация о мерах по реализации представлений и предписаний Счетной палаты является открытой, размещена на сайте Счетной палаты и ежеквартально обновляется.</w:t>
      </w:r>
    </w:p>
    <w:p w:rsidR="00FE4469" w:rsidRPr="00952B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t>По результатам мероприятий, проведенных в 201</w:t>
      </w:r>
      <w:r w:rsidR="00952BEB">
        <w:rPr>
          <w:rFonts w:ascii="Times New Roman" w:hAnsi="Times New Roman"/>
          <w:sz w:val="26"/>
          <w:szCs w:val="26"/>
        </w:rPr>
        <w:t>9</w:t>
      </w:r>
      <w:r w:rsidRPr="00952BEB">
        <w:rPr>
          <w:rFonts w:ascii="Times New Roman" w:hAnsi="Times New Roman"/>
          <w:sz w:val="26"/>
          <w:szCs w:val="26"/>
        </w:rPr>
        <w:t xml:space="preserve"> году, направлено </w:t>
      </w:r>
      <w:r w:rsidR="00952BEB">
        <w:rPr>
          <w:rFonts w:ascii="Times New Roman" w:hAnsi="Times New Roman"/>
          <w:sz w:val="26"/>
          <w:szCs w:val="26"/>
        </w:rPr>
        <w:t>55</w:t>
      </w:r>
      <w:r w:rsidRPr="00952BEB">
        <w:rPr>
          <w:rFonts w:ascii="Times New Roman" w:hAnsi="Times New Roman"/>
          <w:sz w:val="26"/>
          <w:szCs w:val="26"/>
        </w:rPr>
        <w:t xml:space="preserve"> информационных писем, содержащих информацию о выявленных нарушениях и недостатках, и соответствующие предложения по их устранению, в том числе: в Правительство Мурманской области - </w:t>
      </w:r>
      <w:r w:rsidR="00952BEB">
        <w:rPr>
          <w:rFonts w:ascii="Times New Roman" w:hAnsi="Times New Roman"/>
          <w:sz w:val="26"/>
          <w:szCs w:val="26"/>
        </w:rPr>
        <w:t>17</w:t>
      </w:r>
      <w:r w:rsidRPr="00952BEB">
        <w:rPr>
          <w:rFonts w:ascii="Times New Roman" w:hAnsi="Times New Roman"/>
          <w:sz w:val="26"/>
          <w:szCs w:val="26"/>
        </w:rPr>
        <w:t xml:space="preserve">, в Мурманскую областную Думу - </w:t>
      </w:r>
      <w:r w:rsidR="00952BEB">
        <w:rPr>
          <w:rFonts w:ascii="Times New Roman" w:hAnsi="Times New Roman"/>
          <w:sz w:val="26"/>
          <w:szCs w:val="26"/>
        </w:rPr>
        <w:t>1</w:t>
      </w:r>
      <w:r w:rsidRPr="00952BEB">
        <w:rPr>
          <w:rFonts w:ascii="Times New Roman" w:hAnsi="Times New Roman"/>
          <w:sz w:val="26"/>
          <w:szCs w:val="26"/>
        </w:rPr>
        <w:t>, исполнительным органам государственной власти</w:t>
      </w:r>
      <w:r w:rsidRPr="00952BEB">
        <w:rPr>
          <w:sz w:val="26"/>
          <w:szCs w:val="26"/>
        </w:rPr>
        <w:t xml:space="preserve"> </w:t>
      </w:r>
      <w:r w:rsidRPr="00952BEB">
        <w:rPr>
          <w:rFonts w:ascii="Times New Roman" w:hAnsi="Times New Roman"/>
          <w:sz w:val="26"/>
          <w:szCs w:val="26"/>
        </w:rPr>
        <w:t>Мурманской области (главным администраторам средств областного бюджета)</w:t>
      </w:r>
      <w:r w:rsidRPr="00952BEB">
        <w:rPr>
          <w:sz w:val="26"/>
          <w:szCs w:val="26"/>
        </w:rPr>
        <w:t xml:space="preserve"> - </w:t>
      </w:r>
      <w:r w:rsidR="00952BEB">
        <w:rPr>
          <w:rFonts w:ascii="Times New Roman" w:hAnsi="Times New Roman"/>
          <w:sz w:val="26"/>
          <w:szCs w:val="26"/>
        </w:rPr>
        <w:t>18</w:t>
      </w:r>
      <w:r w:rsidRPr="00952BEB">
        <w:rPr>
          <w:rFonts w:ascii="Times New Roman" w:hAnsi="Times New Roman"/>
          <w:sz w:val="26"/>
          <w:szCs w:val="26"/>
        </w:rPr>
        <w:t xml:space="preserve">, органам местного самоуправления - </w:t>
      </w:r>
      <w:r w:rsidR="00952BEB">
        <w:rPr>
          <w:rFonts w:ascii="Times New Roman" w:hAnsi="Times New Roman"/>
          <w:sz w:val="26"/>
          <w:szCs w:val="26"/>
        </w:rPr>
        <w:t>8</w:t>
      </w:r>
      <w:r w:rsidRPr="00952BEB">
        <w:rPr>
          <w:rFonts w:ascii="Times New Roman" w:hAnsi="Times New Roman"/>
          <w:sz w:val="26"/>
          <w:szCs w:val="26"/>
        </w:rPr>
        <w:t>, в учреждения, предприятия</w:t>
      </w:r>
      <w:r w:rsidR="00EC4F66">
        <w:rPr>
          <w:rFonts w:ascii="Times New Roman" w:hAnsi="Times New Roman"/>
          <w:sz w:val="26"/>
          <w:szCs w:val="26"/>
        </w:rPr>
        <w:t xml:space="preserve"> и иные</w:t>
      </w:r>
      <w:r w:rsidRPr="00952BEB">
        <w:rPr>
          <w:rFonts w:ascii="Times New Roman" w:hAnsi="Times New Roman"/>
          <w:sz w:val="26"/>
          <w:szCs w:val="26"/>
        </w:rPr>
        <w:t xml:space="preserve"> организации - </w:t>
      </w:r>
      <w:r w:rsidR="00952BEB">
        <w:rPr>
          <w:rFonts w:ascii="Times New Roman" w:hAnsi="Times New Roman"/>
          <w:sz w:val="26"/>
          <w:szCs w:val="26"/>
        </w:rPr>
        <w:t>11</w:t>
      </w:r>
      <w:r w:rsidRPr="00952BEB">
        <w:rPr>
          <w:rFonts w:ascii="Times New Roman" w:hAnsi="Times New Roman"/>
          <w:sz w:val="26"/>
          <w:szCs w:val="26"/>
        </w:rPr>
        <w:t>.</w:t>
      </w:r>
    </w:p>
    <w:p w:rsidR="00FE4469" w:rsidRPr="00952B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t xml:space="preserve">Информация о </w:t>
      </w:r>
      <w:r w:rsidR="00DE4959" w:rsidRPr="00952BEB">
        <w:rPr>
          <w:rFonts w:ascii="Times New Roman" w:hAnsi="Times New Roman"/>
          <w:sz w:val="26"/>
          <w:szCs w:val="26"/>
        </w:rPr>
        <w:t xml:space="preserve">принятых мерах по предложениям, направленным </w:t>
      </w:r>
      <w:r w:rsidRPr="00952BEB">
        <w:rPr>
          <w:rFonts w:ascii="Times New Roman" w:hAnsi="Times New Roman"/>
          <w:sz w:val="26"/>
          <w:szCs w:val="26"/>
        </w:rPr>
        <w:t xml:space="preserve">Счетной палатой </w:t>
      </w:r>
      <w:r w:rsidR="00DE4959" w:rsidRPr="00952BEB">
        <w:rPr>
          <w:rFonts w:ascii="Times New Roman" w:hAnsi="Times New Roman"/>
          <w:sz w:val="26"/>
          <w:szCs w:val="26"/>
        </w:rPr>
        <w:t xml:space="preserve">по результатам </w:t>
      </w:r>
      <w:r w:rsidRPr="00952BEB">
        <w:rPr>
          <w:rFonts w:ascii="Times New Roman" w:hAnsi="Times New Roman"/>
          <w:sz w:val="26"/>
          <w:szCs w:val="26"/>
        </w:rPr>
        <w:t>проведенных в 201</w:t>
      </w:r>
      <w:r w:rsidR="00952BEB">
        <w:rPr>
          <w:rFonts w:ascii="Times New Roman" w:hAnsi="Times New Roman"/>
          <w:sz w:val="26"/>
          <w:szCs w:val="26"/>
        </w:rPr>
        <w:t>9</w:t>
      </w:r>
      <w:r w:rsidRPr="00952BEB">
        <w:rPr>
          <w:rFonts w:ascii="Times New Roman" w:hAnsi="Times New Roman"/>
          <w:sz w:val="26"/>
          <w:szCs w:val="26"/>
        </w:rPr>
        <w:t xml:space="preserve"> году контрольных и экспертно-аналитических мероприятий</w:t>
      </w:r>
      <w:r w:rsidR="00AA65FF">
        <w:rPr>
          <w:rFonts w:ascii="Times New Roman" w:hAnsi="Times New Roman"/>
          <w:sz w:val="26"/>
          <w:szCs w:val="26"/>
        </w:rPr>
        <w:t>,</w:t>
      </w:r>
      <w:r w:rsidRPr="00952BEB">
        <w:rPr>
          <w:rFonts w:ascii="Times New Roman" w:hAnsi="Times New Roman"/>
          <w:sz w:val="26"/>
          <w:szCs w:val="26"/>
        </w:rPr>
        <w:t xml:space="preserve"> </w:t>
      </w:r>
      <w:r w:rsidRPr="00232387">
        <w:rPr>
          <w:rFonts w:ascii="Times New Roman" w:hAnsi="Times New Roman"/>
          <w:sz w:val="26"/>
          <w:szCs w:val="26"/>
        </w:rPr>
        <w:t xml:space="preserve">представлена в Приложении № </w:t>
      </w:r>
      <w:r w:rsidR="00232387" w:rsidRPr="00232387">
        <w:rPr>
          <w:rFonts w:ascii="Times New Roman" w:hAnsi="Times New Roman"/>
          <w:sz w:val="26"/>
          <w:szCs w:val="26"/>
        </w:rPr>
        <w:t>4</w:t>
      </w:r>
      <w:r w:rsidRPr="00232387">
        <w:rPr>
          <w:rFonts w:ascii="Times New Roman" w:hAnsi="Times New Roman"/>
          <w:sz w:val="26"/>
          <w:szCs w:val="26"/>
        </w:rPr>
        <w:t xml:space="preserve"> к отчету</w:t>
      </w:r>
      <w:r w:rsidRPr="00952BEB">
        <w:rPr>
          <w:rFonts w:ascii="Times New Roman" w:hAnsi="Times New Roman"/>
          <w:sz w:val="26"/>
          <w:szCs w:val="26"/>
        </w:rPr>
        <w:t>.</w:t>
      </w:r>
    </w:p>
    <w:p w:rsidR="00FE4469" w:rsidRPr="00952B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t xml:space="preserve">Из </w:t>
      </w:r>
      <w:r w:rsidR="00952BEB" w:rsidRPr="00952BEB">
        <w:rPr>
          <w:rFonts w:ascii="Times New Roman" w:hAnsi="Times New Roman"/>
          <w:sz w:val="26"/>
          <w:szCs w:val="26"/>
        </w:rPr>
        <w:t>7</w:t>
      </w:r>
      <w:r w:rsidRPr="00952BEB">
        <w:rPr>
          <w:rFonts w:ascii="Times New Roman" w:hAnsi="Times New Roman"/>
          <w:sz w:val="26"/>
          <w:szCs w:val="26"/>
        </w:rPr>
        <w:t>1 предложени</w:t>
      </w:r>
      <w:r w:rsidR="00007613" w:rsidRPr="00952BEB">
        <w:rPr>
          <w:rFonts w:ascii="Times New Roman" w:hAnsi="Times New Roman"/>
          <w:sz w:val="26"/>
          <w:szCs w:val="26"/>
        </w:rPr>
        <w:t>я</w:t>
      </w:r>
      <w:r w:rsidRPr="00952BEB">
        <w:rPr>
          <w:rFonts w:ascii="Times New Roman" w:hAnsi="Times New Roman"/>
          <w:sz w:val="26"/>
          <w:szCs w:val="26"/>
        </w:rPr>
        <w:t>, внесенн</w:t>
      </w:r>
      <w:r w:rsidR="00952BEB" w:rsidRPr="00952BEB">
        <w:rPr>
          <w:rFonts w:ascii="Times New Roman" w:hAnsi="Times New Roman"/>
          <w:sz w:val="26"/>
          <w:szCs w:val="26"/>
        </w:rPr>
        <w:t>ого</w:t>
      </w:r>
      <w:r w:rsidRPr="00952BEB">
        <w:rPr>
          <w:rFonts w:ascii="Times New Roman" w:hAnsi="Times New Roman"/>
          <w:sz w:val="26"/>
          <w:szCs w:val="26"/>
        </w:rPr>
        <w:t xml:space="preserve"> Счетной палатой по результатам проведенных контрольных и экспертно-аналитических мероприятий, </w:t>
      </w:r>
      <w:r w:rsidR="00FD54D7">
        <w:rPr>
          <w:rFonts w:ascii="Times New Roman" w:hAnsi="Times New Roman"/>
          <w:sz w:val="26"/>
          <w:szCs w:val="26"/>
        </w:rPr>
        <w:t>5</w:t>
      </w:r>
      <w:r w:rsidR="007C0E4E">
        <w:rPr>
          <w:rFonts w:ascii="Times New Roman" w:hAnsi="Times New Roman"/>
          <w:sz w:val="26"/>
          <w:szCs w:val="26"/>
        </w:rPr>
        <w:t>6</w:t>
      </w:r>
      <w:r w:rsidRPr="00952BEB">
        <w:rPr>
          <w:rFonts w:ascii="Times New Roman" w:hAnsi="Times New Roman"/>
          <w:sz w:val="26"/>
          <w:szCs w:val="26"/>
        </w:rPr>
        <w:t xml:space="preserve"> (</w:t>
      </w:r>
      <w:r w:rsidRPr="00524201">
        <w:rPr>
          <w:rFonts w:ascii="Times New Roman" w:hAnsi="Times New Roman"/>
          <w:sz w:val="26"/>
          <w:szCs w:val="26"/>
        </w:rPr>
        <w:t xml:space="preserve">или </w:t>
      </w:r>
      <w:r w:rsidR="007C0E4E">
        <w:rPr>
          <w:rFonts w:ascii="Times New Roman" w:hAnsi="Times New Roman"/>
          <w:sz w:val="26"/>
          <w:szCs w:val="26"/>
        </w:rPr>
        <w:t>78,9</w:t>
      </w:r>
      <w:r w:rsidR="00FD54D7" w:rsidRPr="00524201">
        <w:rPr>
          <w:rFonts w:ascii="Times New Roman" w:hAnsi="Times New Roman"/>
          <w:sz w:val="26"/>
          <w:szCs w:val="26"/>
        </w:rPr>
        <w:t xml:space="preserve"> </w:t>
      </w:r>
      <w:r w:rsidRPr="00524201">
        <w:rPr>
          <w:rFonts w:ascii="Times New Roman" w:hAnsi="Times New Roman"/>
          <w:sz w:val="26"/>
          <w:szCs w:val="26"/>
        </w:rPr>
        <w:t>% от</w:t>
      </w:r>
      <w:r w:rsidRPr="00952BEB">
        <w:rPr>
          <w:rFonts w:ascii="Times New Roman" w:hAnsi="Times New Roman"/>
          <w:sz w:val="26"/>
          <w:szCs w:val="26"/>
        </w:rPr>
        <w:t xml:space="preserve"> общего количества) приято к исполнению. По ряду внесенных предложений не истек срок предоставления информации о принятых мерах. </w:t>
      </w:r>
    </w:p>
    <w:p w:rsidR="00FE4469" w:rsidRPr="00952B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t>По предложениям Счетной палаты органами государственной власти</w:t>
      </w:r>
      <w:r w:rsidR="0015279C" w:rsidRPr="00952BEB">
        <w:rPr>
          <w:rFonts w:ascii="Times New Roman" w:hAnsi="Times New Roman"/>
          <w:sz w:val="26"/>
          <w:szCs w:val="26"/>
        </w:rPr>
        <w:t>,</w:t>
      </w:r>
      <w:r w:rsidRPr="00952BEB">
        <w:rPr>
          <w:rFonts w:ascii="Times New Roman" w:hAnsi="Times New Roman"/>
          <w:sz w:val="26"/>
          <w:szCs w:val="26"/>
        </w:rPr>
        <w:t xml:space="preserve"> органами местного самоуправления </w:t>
      </w:r>
      <w:r w:rsidR="0015279C" w:rsidRPr="00952BEB">
        <w:rPr>
          <w:rFonts w:ascii="Times New Roman" w:hAnsi="Times New Roman"/>
          <w:sz w:val="26"/>
          <w:szCs w:val="26"/>
        </w:rPr>
        <w:t xml:space="preserve">и ведомствами Мурманской области </w:t>
      </w:r>
      <w:r w:rsidRPr="00952BEB">
        <w:rPr>
          <w:rFonts w:ascii="Times New Roman" w:hAnsi="Times New Roman"/>
          <w:sz w:val="26"/>
          <w:szCs w:val="26"/>
        </w:rPr>
        <w:t>принят</w:t>
      </w:r>
      <w:r w:rsidR="00AA65FF">
        <w:rPr>
          <w:rFonts w:ascii="Times New Roman" w:hAnsi="Times New Roman"/>
          <w:sz w:val="26"/>
          <w:szCs w:val="26"/>
        </w:rPr>
        <w:t>о</w:t>
      </w:r>
      <w:r w:rsidRPr="00952BEB">
        <w:rPr>
          <w:rFonts w:ascii="Times New Roman" w:hAnsi="Times New Roman"/>
          <w:sz w:val="26"/>
          <w:szCs w:val="26"/>
        </w:rPr>
        <w:t xml:space="preserve"> </w:t>
      </w:r>
      <w:r w:rsidR="0015279C" w:rsidRPr="00952BEB">
        <w:rPr>
          <w:rFonts w:ascii="Times New Roman" w:hAnsi="Times New Roman"/>
          <w:sz w:val="26"/>
          <w:szCs w:val="26"/>
        </w:rPr>
        <w:t>2</w:t>
      </w:r>
      <w:r w:rsidR="00EC4F66">
        <w:rPr>
          <w:rFonts w:ascii="Times New Roman" w:hAnsi="Times New Roman"/>
          <w:sz w:val="26"/>
          <w:szCs w:val="26"/>
        </w:rPr>
        <w:t>3</w:t>
      </w:r>
      <w:r w:rsidRPr="00952BEB">
        <w:rPr>
          <w:rFonts w:ascii="Times New Roman" w:hAnsi="Times New Roman"/>
          <w:sz w:val="26"/>
          <w:szCs w:val="26"/>
        </w:rPr>
        <w:t xml:space="preserve"> нормативны</w:t>
      </w:r>
      <w:r w:rsidR="00AA65FF">
        <w:rPr>
          <w:rFonts w:ascii="Times New Roman" w:hAnsi="Times New Roman"/>
          <w:sz w:val="26"/>
          <w:szCs w:val="26"/>
        </w:rPr>
        <w:t>х</w:t>
      </w:r>
      <w:r w:rsidRPr="00952BEB">
        <w:rPr>
          <w:rFonts w:ascii="Times New Roman" w:hAnsi="Times New Roman"/>
          <w:sz w:val="26"/>
          <w:szCs w:val="26"/>
        </w:rPr>
        <w:t xml:space="preserve"> </w:t>
      </w:r>
      <w:r w:rsidR="00AA65FF">
        <w:rPr>
          <w:rFonts w:ascii="Times New Roman" w:hAnsi="Times New Roman"/>
          <w:sz w:val="26"/>
          <w:szCs w:val="26"/>
        </w:rPr>
        <w:t>(</w:t>
      </w:r>
      <w:r w:rsidRPr="00952BEB">
        <w:rPr>
          <w:rFonts w:ascii="Times New Roman" w:hAnsi="Times New Roman"/>
          <w:sz w:val="26"/>
          <w:szCs w:val="26"/>
        </w:rPr>
        <w:t>правов</w:t>
      </w:r>
      <w:r w:rsidR="00AA65FF">
        <w:rPr>
          <w:rFonts w:ascii="Times New Roman" w:hAnsi="Times New Roman"/>
          <w:sz w:val="26"/>
          <w:szCs w:val="26"/>
        </w:rPr>
        <w:t>ых)</w:t>
      </w:r>
      <w:r w:rsidRPr="00952BEB">
        <w:rPr>
          <w:rFonts w:ascii="Times New Roman" w:hAnsi="Times New Roman"/>
          <w:sz w:val="26"/>
          <w:szCs w:val="26"/>
        </w:rPr>
        <w:t xml:space="preserve"> акт</w:t>
      </w:r>
      <w:r w:rsidR="0061389D">
        <w:rPr>
          <w:rFonts w:ascii="Times New Roman" w:hAnsi="Times New Roman"/>
          <w:sz w:val="26"/>
          <w:szCs w:val="26"/>
        </w:rPr>
        <w:t>а</w:t>
      </w:r>
      <w:r w:rsidRPr="00952BEB">
        <w:rPr>
          <w:rFonts w:ascii="Times New Roman" w:hAnsi="Times New Roman"/>
          <w:sz w:val="26"/>
          <w:szCs w:val="26"/>
        </w:rPr>
        <w:t>, в том числе:</w:t>
      </w:r>
    </w:p>
    <w:p w:rsidR="00FE4469" w:rsidRPr="00952B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sym w:font="Symbol" w:char="F0B7"/>
      </w:r>
      <w:r w:rsidRPr="00952BEB">
        <w:rPr>
          <w:rFonts w:ascii="Times New Roman" w:hAnsi="Times New Roman"/>
          <w:sz w:val="26"/>
          <w:szCs w:val="26"/>
        </w:rPr>
        <w:t xml:space="preserve">  Законы Мурманской области – </w:t>
      </w:r>
      <w:r w:rsidR="00952BEB" w:rsidRPr="00952BEB">
        <w:rPr>
          <w:rFonts w:ascii="Times New Roman" w:hAnsi="Times New Roman"/>
          <w:sz w:val="26"/>
          <w:szCs w:val="26"/>
        </w:rPr>
        <w:t>1</w:t>
      </w:r>
      <w:r w:rsidRPr="00952BEB">
        <w:rPr>
          <w:rFonts w:ascii="Times New Roman" w:hAnsi="Times New Roman"/>
          <w:sz w:val="26"/>
          <w:szCs w:val="26"/>
        </w:rPr>
        <w:t>;</w:t>
      </w:r>
    </w:p>
    <w:p w:rsidR="00FE4469" w:rsidRPr="00952B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sym w:font="Symbol" w:char="F0B7"/>
      </w:r>
      <w:r w:rsidRPr="00952BEB">
        <w:rPr>
          <w:rFonts w:ascii="Times New Roman" w:hAnsi="Times New Roman"/>
          <w:sz w:val="26"/>
          <w:szCs w:val="26"/>
        </w:rPr>
        <w:t xml:space="preserve">  постановления Правительства Мурманской области – </w:t>
      </w:r>
      <w:r w:rsidR="00952BEB" w:rsidRPr="00952BEB">
        <w:rPr>
          <w:rFonts w:ascii="Times New Roman" w:hAnsi="Times New Roman"/>
          <w:sz w:val="26"/>
          <w:szCs w:val="26"/>
        </w:rPr>
        <w:t>7</w:t>
      </w:r>
      <w:r w:rsidRPr="00952BEB">
        <w:rPr>
          <w:rFonts w:ascii="Times New Roman" w:hAnsi="Times New Roman"/>
          <w:sz w:val="26"/>
          <w:szCs w:val="26"/>
        </w:rPr>
        <w:t>;</w:t>
      </w:r>
    </w:p>
    <w:p w:rsidR="00FE4469" w:rsidRPr="00952B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sym w:font="Symbol" w:char="F0B7"/>
      </w:r>
      <w:r w:rsidRPr="00952BEB">
        <w:rPr>
          <w:rFonts w:ascii="Times New Roman" w:hAnsi="Times New Roman"/>
          <w:sz w:val="26"/>
          <w:szCs w:val="26"/>
        </w:rPr>
        <w:t xml:space="preserve"> решения (постановления) органов местного самоуправления – 1;</w:t>
      </w:r>
    </w:p>
    <w:p w:rsidR="00FE4469" w:rsidRPr="00952B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sym w:font="Symbol" w:char="F0B7"/>
      </w:r>
      <w:r w:rsidRPr="00952BEB">
        <w:rPr>
          <w:rFonts w:ascii="Times New Roman" w:hAnsi="Times New Roman"/>
          <w:sz w:val="26"/>
          <w:szCs w:val="26"/>
        </w:rPr>
        <w:t xml:space="preserve">  ведомственные, локальные, распорядительные акты – </w:t>
      </w:r>
      <w:r w:rsidR="00952BEB" w:rsidRPr="00952BEB">
        <w:rPr>
          <w:rFonts w:ascii="Times New Roman" w:hAnsi="Times New Roman"/>
          <w:sz w:val="26"/>
          <w:szCs w:val="26"/>
        </w:rPr>
        <w:t>1</w:t>
      </w:r>
      <w:r w:rsidR="00EC4F66">
        <w:rPr>
          <w:rFonts w:ascii="Times New Roman" w:hAnsi="Times New Roman"/>
          <w:sz w:val="26"/>
          <w:szCs w:val="26"/>
        </w:rPr>
        <w:t>4</w:t>
      </w:r>
      <w:r w:rsidRPr="00952BEB">
        <w:rPr>
          <w:rFonts w:ascii="Times New Roman" w:hAnsi="Times New Roman"/>
          <w:sz w:val="26"/>
          <w:szCs w:val="26"/>
        </w:rPr>
        <w:t>.</w:t>
      </w:r>
    </w:p>
    <w:p w:rsidR="00FE4469" w:rsidRPr="00952B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t>Перечень нормативных правовых актов, принятых в 201</w:t>
      </w:r>
      <w:r w:rsidR="00952BEB">
        <w:rPr>
          <w:rFonts w:ascii="Times New Roman" w:hAnsi="Times New Roman"/>
          <w:sz w:val="26"/>
          <w:szCs w:val="26"/>
        </w:rPr>
        <w:t>9</w:t>
      </w:r>
      <w:r w:rsidRPr="00952BEB">
        <w:rPr>
          <w:rFonts w:ascii="Times New Roman" w:hAnsi="Times New Roman"/>
          <w:sz w:val="26"/>
          <w:szCs w:val="26"/>
        </w:rPr>
        <w:t xml:space="preserve"> году с учетом замечаний и предложений Счетной палаты по результатам контрольных и экспертно-аналитических мероприятий</w:t>
      </w:r>
      <w:r w:rsidR="00AA65FF">
        <w:rPr>
          <w:rFonts w:ascii="Times New Roman" w:hAnsi="Times New Roman"/>
          <w:sz w:val="26"/>
          <w:szCs w:val="26"/>
        </w:rPr>
        <w:t>,</w:t>
      </w:r>
      <w:r w:rsidRPr="00952BEB">
        <w:rPr>
          <w:rFonts w:ascii="Times New Roman" w:hAnsi="Times New Roman"/>
          <w:sz w:val="26"/>
          <w:szCs w:val="26"/>
        </w:rPr>
        <w:t xml:space="preserve"> представлен </w:t>
      </w:r>
      <w:r w:rsidRPr="00232387">
        <w:rPr>
          <w:rFonts w:ascii="Times New Roman" w:hAnsi="Times New Roman"/>
          <w:sz w:val="26"/>
          <w:szCs w:val="26"/>
        </w:rPr>
        <w:t xml:space="preserve">в Приложении № </w:t>
      </w:r>
      <w:r w:rsidR="00232387" w:rsidRPr="00232387">
        <w:rPr>
          <w:rFonts w:ascii="Times New Roman" w:hAnsi="Times New Roman"/>
          <w:sz w:val="26"/>
          <w:szCs w:val="26"/>
        </w:rPr>
        <w:t>5</w:t>
      </w:r>
      <w:r w:rsidRPr="00232387">
        <w:rPr>
          <w:rFonts w:ascii="Times New Roman" w:hAnsi="Times New Roman"/>
          <w:sz w:val="26"/>
          <w:szCs w:val="26"/>
        </w:rPr>
        <w:t xml:space="preserve"> к отчету</w:t>
      </w:r>
      <w:r w:rsidRPr="00952BEB">
        <w:rPr>
          <w:rFonts w:ascii="Times New Roman" w:hAnsi="Times New Roman"/>
          <w:sz w:val="26"/>
          <w:szCs w:val="26"/>
        </w:rPr>
        <w:t>.</w:t>
      </w:r>
    </w:p>
    <w:p w:rsidR="00FE4469" w:rsidRPr="006244EB" w:rsidRDefault="00FE4469" w:rsidP="006244EB">
      <w:pPr>
        <w:spacing w:after="0" w:line="240" w:lineRule="auto"/>
        <w:ind w:firstLine="709"/>
        <w:jc w:val="both"/>
        <w:rPr>
          <w:rFonts w:ascii="Times New Roman" w:hAnsi="Times New Roman"/>
          <w:sz w:val="26"/>
          <w:szCs w:val="26"/>
        </w:rPr>
      </w:pPr>
      <w:r w:rsidRPr="00952BEB">
        <w:rPr>
          <w:rFonts w:ascii="Times New Roman" w:hAnsi="Times New Roman"/>
          <w:sz w:val="26"/>
          <w:szCs w:val="26"/>
        </w:rPr>
        <w:t xml:space="preserve">В соответствии с постановлением Мурманской областной Думы от </w:t>
      </w:r>
      <w:proofErr w:type="gramStart"/>
      <w:r w:rsidRPr="00952BEB">
        <w:rPr>
          <w:rFonts w:ascii="Times New Roman" w:hAnsi="Times New Roman"/>
          <w:sz w:val="26"/>
          <w:szCs w:val="26"/>
        </w:rPr>
        <w:t xml:space="preserve">20.10.2010 </w:t>
      </w:r>
      <w:r w:rsidR="00932AE1" w:rsidRPr="00932AE1">
        <w:rPr>
          <w:rFonts w:ascii="Times New Roman" w:hAnsi="Times New Roman"/>
          <w:sz w:val="26"/>
          <w:szCs w:val="26"/>
        </w:rPr>
        <w:t xml:space="preserve"> </w:t>
      </w:r>
      <w:r w:rsidRPr="00952BEB">
        <w:rPr>
          <w:rFonts w:ascii="Times New Roman" w:hAnsi="Times New Roman"/>
          <w:sz w:val="26"/>
          <w:szCs w:val="26"/>
        </w:rPr>
        <w:t>№</w:t>
      </w:r>
      <w:proofErr w:type="gramEnd"/>
      <w:r w:rsidRPr="00952BEB">
        <w:rPr>
          <w:rFonts w:ascii="Times New Roman" w:hAnsi="Times New Roman"/>
          <w:sz w:val="26"/>
          <w:szCs w:val="26"/>
        </w:rPr>
        <w:t xml:space="preserve"> 2178 все отчеты о результатах контрольных мероприятий направлялись в Следственное управление Следственного комитета Российской Федерации по Мурманской области.</w:t>
      </w:r>
      <w:r w:rsidRPr="006244EB">
        <w:rPr>
          <w:rFonts w:ascii="Times New Roman" w:hAnsi="Times New Roman"/>
          <w:sz w:val="26"/>
          <w:szCs w:val="26"/>
        </w:rPr>
        <w:t xml:space="preserve"> </w:t>
      </w:r>
    </w:p>
    <w:p w:rsidR="002F48DE" w:rsidRPr="006244EB" w:rsidRDefault="002F48DE" w:rsidP="006244EB">
      <w:pPr>
        <w:spacing w:after="0" w:line="240" w:lineRule="auto"/>
        <w:ind w:firstLine="709"/>
        <w:jc w:val="both"/>
        <w:rPr>
          <w:rFonts w:ascii="Times New Roman" w:hAnsi="Times New Roman"/>
          <w:sz w:val="26"/>
          <w:szCs w:val="26"/>
        </w:rPr>
      </w:pPr>
    </w:p>
    <w:p w:rsidR="0039530B" w:rsidRPr="006244EB" w:rsidRDefault="000C0E65" w:rsidP="006244EB">
      <w:pPr>
        <w:spacing w:after="0" w:line="240" w:lineRule="auto"/>
        <w:ind w:firstLine="709"/>
        <w:jc w:val="center"/>
        <w:rPr>
          <w:rFonts w:ascii="Times New Roman" w:hAnsi="Times New Roman"/>
          <w:b/>
          <w:sz w:val="28"/>
          <w:szCs w:val="28"/>
        </w:rPr>
      </w:pPr>
      <w:r>
        <w:rPr>
          <w:rFonts w:ascii="Times New Roman" w:hAnsi="Times New Roman"/>
          <w:b/>
          <w:sz w:val="28"/>
          <w:szCs w:val="28"/>
          <w:lang w:val="en-US"/>
        </w:rPr>
        <w:t>I</w:t>
      </w:r>
      <w:r w:rsidR="00A25512" w:rsidRPr="006244EB">
        <w:rPr>
          <w:rFonts w:ascii="Times New Roman" w:hAnsi="Times New Roman"/>
          <w:b/>
          <w:sz w:val="28"/>
          <w:szCs w:val="28"/>
          <w:lang w:val="en-US"/>
        </w:rPr>
        <w:t>II</w:t>
      </w:r>
      <w:r w:rsidR="0039530B" w:rsidRPr="006244EB">
        <w:rPr>
          <w:rFonts w:ascii="Times New Roman" w:hAnsi="Times New Roman"/>
          <w:b/>
          <w:sz w:val="28"/>
          <w:szCs w:val="28"/>
        </w:rPr>
        <w:t xml:space="preserve">. </w:t>
      </w:r>
      <w:r w:rsidR="00CF30FC" w:rsidRPr="006244EB">
        <w:rPr>
          <w:rFonts w:ascii="Times New Roman" w:hAnsi="Times New Roman"/>
          <w:b/>
          <w:sz w:val="28"/>
          <w:szCs w:val="28"/>
        </w:rPr>
        <w:t>И</w:t>
      </w:r>
      <w:r w:rsidR="0039530B" w:rsidRPr="006244EB">
        <w:rPr>
          <w:rFonts w:ascii="Times New Roman" w:hAnsi="Times New Roman"/>
          <w:b/>
          <w:sz w:val="28"/>
          <w:szCs w:val="28"/>
        </w:rPr>
        <w:t>тоги экспертно-аналитической деятельности</w:t>
      </w:r>
    </w:p>
    <w:p w:rsidR="0039530B" w:rsidRPr="006244EB" w:rsidRDefault="0039530B" w:rsidP="006244EB">
      <w:pPr>
        <w:spacing w:after="0" w:line="120" w:lineRule="auto"/>
        <w:ind w:firstLine="709"/>
        <w:jc w:val="center"/>
        <w:rPr>
          <w:rFonts w:ascii="Times New Roman" w:hAnsi="Times New Roman"/>
          <w:b/>
          <w:sz w:val="26"/>
          <w:szCs w:val="26"/>
        </w:rPr>
      </w:pPr>
    </w:p>
    <w:p w:rsidR="0039530B" w:rsidRPr="006244EB" w:rsidRDefault="0039530B" w:rsidP="006244EB">
      <w:pPr>
        <w:spacing w:after="0" w:line="240" w:lineRule="auto"/>
        <w:ind w:firstLine="709"/>
        <w:jc w:val="both"/>
        <w:rPr>
          <w:rFonts w:ascii="Times New Roman" w:hAnsi="Times New Roman"/>
          <w:sz w:val="26"/>
          <w:szCs w:val="26"/>
        </w:rPr>
      </w:pPr>
      <w:r w:rsidRPr="006244EB">
        <w:rPr>
          <w:rFonts w:ascii="Times New Roman" w:hAnsi="Times New Roman"/>
          <w:sz w:val="26"/>
          <w:szCs w:val="26"/>
        </w:rPr>
        <w:t>В соответствии с Планом работы на 201</w:t>
      </w:r>
      <w:r w:rsidR="009954DF">
        <w:rPr>
          <w:rFonts w:ascii="Times New Roman" w:hAnsi="Times New Roman"/>
          <w:sz w:val="26"/>
          <w:szCs w:val="26"/>
        </w:rPr>
        <w:t>9</w:t>
      </w:r>
      <w:r w:rsidRPr="006244EB">
        <w:rPr>
          <w:rFonts w:ascii="Times New Roman" w:hAnsi="Times New Roman"/>
          <w:sz w:val="26"/>
          <w:szCs w:val="26"/>
        </w:rPr>
        <w:t xml:space="preserve"> год Счетной палатой проведено </w:t>
      </w:r>
      <w:r w:rsidR="00BA787C" w:rsidRPr="006244EB">
        <w:rPr>
          <w:rFonts w:ascii="Times New Roman" w:hAnsi="Times New Roman"/>
          <w:sz w:val="26"/>
          <w:szCs w:val="26"/>
        </w:rPr>
        <w:t>3</w:t>
      </w:r>
      <w:r w:rsidR="00C6186E" w:rsidRPr="006244EB">
        <w:rPr>
          <w:rFonts w:ascii="Times New Roman" w:hAnsi="Times New Roman"/>
          <w:sz w:val="26"/>
          <w:szCs w:val="26"/>
        </w:rPr>
        <w:t>2</w:t>
      </w:r>
      <w:r w:rsidRPr="006244EB">
        <w:rPr>
          <w:rFonts w:ascii="Times New Roman" w:hAnsi="Times New Roman"/>
          <w:sz w:val="26"/>
          <w:szCs w:val="26"/>
        </w:rPr>
        <w:t xml:space="preserve"> экспертно-аналитическ</w:t>
      </w:r>
      <w:r w:rsidR="00007613" w:rsidRPr="006244EB">
        <w:rPr>
          <w:rFonts w:ascii="Times New Roman" w:hAnsi="Times New Roman"/>
          <w:sz w:val="26"/>
          <w:szCs w:val="26"/>
        </w:rPr>
        <w:t>их</w:t>
      </w:r>
      <w:r w:rsidRPr="006244EB">
        <w:rPr>
          <w:rFonts w:ascii="Times New Roman" w:hAnsi="Times New Roman"/>
          <w:sz w:val="26"/>
          <w:szCs w:val="26"/>
        </w:rPr>
        <w:t xml:space="preserve"> мероприяти</w:t>
      </w:r>
      <w:r w:rsidR="00007613" w:rsidRPr="006244EB">
        <w:rPr>
          <w:rFonts w:ascii="Times New Roman" w:hAnsi="Times New Roman"/>
          <w:sz w:val="26"/>
          <w:szCs w:val="26"/>
        </w:rPr>
        <w:t>й</w:t>
      </w:r>
      <w:r w:rsidRPr="006244EB">
        <w:rPr>
          <w:rFonts w:ascii="Times New Roman" w:hAnsi="Times New Roman"/>
          <w:sz w:val="26"/>
          <w:szCs w:val="26"/>
        </w:rPr>
        <w:t xml:space="preserve">, </w:t>
      </w:r>
      <w:r w:rsidR="006506D6" w:rsidRPr="006244EB">
        <w:rPr>
          <w:rFonts w:ascii="Times New Roman" w:hAnsi="Times New Roman"/>
          <w:sz w:val="26"/>
          <w:szCs w:val="26"/>
        </w:rPr>
        <w:t>из них</w:t>
      </w:r>
      <w:r w:rsidR="00EC4F66">
        <w:rPr>
          <w:rFonts w:ascii="Times New Roman" w:hAnsi="Times New Roman"/>
          <w:sz w:val="26"/>
          <w:szCs w:val="26"/>
        </w:rPr>
        <w:t xml:space="preserve"> результаты</w:t>
      </w:r>
      <w:r w:rsidR="006506D6" w:rsidRPr="006244EB">
        <w:rPr>
          <w:rFonts w:ascii="Times New Roman" w:hAnsi="Times New Roman"/>
          <w:sz w:val="26"/>
          <w:szCs w:val="26"/>
        </w:rPr>
        <w:t xml:space="preserve"> </w:t>
      </w:r>
      <w:r w:rsidR="00BA787C" w:rsidRPr="006244EB">
        <w:rPr>
          <w:rFonts w:ascii="Times New Roman" w:hAnsi="Times New Roman"/>
          <w:sz w:val="26"/>
          <w:szCs w:val="26"/>
        </w:rPr>
        <w:t>2</w:t>
      </w:r>
      <w:r w:rsidR="00AE158F" w:rsidRPr="006244EB">
        <w:rPr>
          <w:rFonts w:ascii="Times New Roman" w:hAnsi="Times New Roman"/>
          <w:sz w:val="26"/>
          <w:szCs w:val="26"/>
        </w:rPr>
        <w:t>4</w:t>
      </w:r>
      <w:r w:rsidR="006506D6" w:rsidRPr="006244EB">
        <w:rPr>
          <w:rFonts w:ascii="Times New Roman" w:hAnsi="Times New Roman"/>
          <w:sz w:val="26"/>
          <w:szCs w:val="26"/>
        </w:rPr>
        <w:t xml:space="preserve"> мероприяти</w:t>
      </w:r>
      <w:r w:rsidR="00EC4F66">
        <w:rPr>
          <w:rFonts w:ascii="Times New Roman" w:hAnsi="Times New Roman"/>
          <w:sz w:val="26"/>
          <w:szCs w:val="26"/>
        </w:rPr>
        <w:t>й</w:t>
      </w:r>
      <w:r w:rsidR="006506D6" w:rsidRPr="006244EB">
        <w:rPr>
          <w:rFonts w:ascii="Times New Roman" w:hAnsi="Times New Roman"/>
          <w:sz w:val="26"/>
          <w:szCs w:val="26"/>
        </w:rPr>
        <w:t xml:space="preserve"> рассмотрены на заседаниях </w:t>
      </w:r>
      <w:r w:rsidR="00EA65A7" w:rsidRPr="006244EB">
        <w:rPr>
          <w:rFonts w:ascii="Times New Roman" w:hAnsi="Times New Roman"/>
          <w:sz w:val="26"/>
          <w:szCs w:val="26"/>
        </w:rPr>
        <w:t>Коллегий Счетной палаты</w:t>
      </w:r>
      <w:r w:rsidR="006506D6" w:rsidRPr="006244EB">
        <w:rPr>
          <w:rFonts w:ascii="Times New Roman" w:hAnsi="Times New Roman"/>
          <w:sz w:val="26"/>
          <w:szCs w:val="26"/>
        </w:rPr>
        <w:t>, в том числе</w:t>
      </w:r>
      <w:r w:rsidR="00C6186E" w:rsidRPr="006244EB">
        <w:rPr>
          <w:rFonts w:ascii="Times New Roman" w:hAnsi="Times New Roman"/>
          <w:sz w:val="26"/>
          <w:szCs w:val="26"/>
        </w:rPr>
        <w:t xml:space="preserve"> </w:t>
      </w:r>
      <w:r w:rsidR="006506D6" w:rsidRPr="006244EB">
        <w:rPr>
          <w:rFonts w:ascii="Times New Roman" w:hAnsi="Times New Roman"/>
          <w:sz w:val="26"/>
          <w:szCs w:val="26"/>
        </w:rPr>
        <w:t>утвержден</w:t>
      </w:r>
      <w:r w:rsidR="00007613" w:rsidRPr="006244EB">
        <w:rPr>
          <w:rFonts w:ascii="Times New Roman" w:hAnsi="Times New Roman"/>
          <w:sz w:val="26"/>
          <w:szCs w:val="26"/>
        </w:rPr>
        <w:t>о</w:t>
      </w:r>
      <w:r w:rsidR="00545822" w:rsidRPr="006244EB">
        <w:t xml:space="preserve"> </w:t>
      </w:r>
      <w:r w:rsidR="00545822" w:rsidRPr="006244EB">
        <w:rPr>
          <w:rFonts w:ascii="Times New Roman" w:hAnsi="Times New Roman"/>
          <w:sz w:val="26"/>
          <w:szCs w:val="26"/>
        </w:rPr>
        <w:t>11 отчетов</w:t>
      </w:r>
      <w:r w:rsidR="006506D6" w:rsidRPr="006244EB">
        <w:rPr>
          <w:rFonts w:ascii="Times New Roman" w:hAnsi="Times New Roman"/>
          <w:sz w:val="26"/>
          <w:szCs w:val="26"/>
        </w:rPr>
        <w:t xml:space="preserve"> </w:t>
      </w:r>
      <w:r w:rsidR="00545822" w:rsidRPr="006244EB">
        <w:rPr>
          <w:rFonts w:ascii="Times New Roman" w:hAnsi="Times New Roman"/>
          <w:sz w:val="26"/>
          <w:szCs w:val="26"/>
        </w:rPr>
        <w:t xml:space="preserve">и </w:t>
      </w:r>
      <w:r w:rsidRPr="006244EB">
        <w:rPr>
          <w:rFonts w:ascii="Times New Roman" w:hAnsi="Times New Roman"/>
          <w:sz w:val="26"/>
          <w:szCs w:val="26"/>
        </w:rPr>
        <w:t>1</w:t>
      </w:r>
      <w:r w:rsidR="00C6186E" w:rsidRPr="006244EB">
        <w:rPr>
          <w:rFonts w:ascii="Times New Roman" w:hAnsi="Times New Roman"/>
          <w:sz w:val="26"/>
          <w:szCs w:val="26"/>
        </w:rPr>
        <w:t>3</w:t>
      </w:r>
      <w:r w:rsidR="00DF4D9D" w:rsidRPr="006244EB">
        <w:rPr>
          <w:rFonts w:ascii="Times New Roman" w:hAnsi="Times New Roman"/>
          <w:sz w:val="26"/>
          <w:szCs w:val="26"/>
        </w:rPr>
        <w:t xml:space="preserve"> </w:t>
      </w:r>
      <w:r w:rsidR="00B831A6" w:rsidRPr="006244EB">
        <w:rPr>
          <w:rFonts w:ascii="Times New Roman" w:hAnsi="Times New Roman"/>
          <w:sz w:val="26"/>
          <w:szCs w:val="26"/>
        </w:rPr>
        <w:t xml:space="preserve">следующих </w:t>
      </w:r>
      <w:r w:rsidRPr="006244EB">
        <w:rPr>
          <w:rFonts w:ascii="Times New Roman" w:hAnsi="Times New Roman"/>
          <w:sz w:val="26"/>
          <w:szCs w:val="26"/>
        </w:rPr>
        <w:t>заключений:</w:t>
      </w:r>
    </w:p>
    <w:p w:rsidR="0039530B" w:rsidRPr="006244EB" w:rsidRDefault="00A8344C" w:rsidP="006244EB">
      <w:pPr>
        <w:spacing w:after="0" w:line="240" w:lineRule="auto"/>
        <w:ind w:firstLine="709"/>
        <w:jc w:val="both"/>
        <w:rPr>
          <w:rFonts w:ascii="Times New Roman" w:hAnsi="Times New Roman"/>
          <w:sz w:val="26"/>
          <w:szCs w:val="26"/>
        </w:rPr>
      </w:pPr>
      <w:r w:rsidRPr="006244EB">
        <w:rPr>
          <w:rFonts w:ascii="Times New Roman" w:hAnsi="Times New Roman"/>
          <w:sz w:val="26"/>
          <w:szCs w:val="26"/>
        </w:rPr>
        <w:sym w:font="Symbol" w:char="F0B7"/>
      </w:r>
      <w:r w:rsidR="0039530B" w:rsidRPr="006244EB">
        <w:rPr>
          <w:rFonts w:ascii="Times New Roman" w:hAnsi="Times New Roman"/>
          <w:sz w:val="26"/>
          <w:szCs w:val="26"/>
        </w:rPr>
        <w:t xml:space="preserve"> </w:t>
      </w:r>
      <w:r w:rsidR="00C6186E" w:rsidRPr="006244EB">
        <w:rPr>
          <w:rFonts w:ascii="Times New Roman" w:hAnsi="Times New Roman"/>
          <w:sz w:val="26"/>
          <w:szCs w:val="26"/>
        </w:rPr>
        <w:t>3</w:t>
      </w:r>
      <w:r w:rsidR="0039530B" w:rsidRPr="006244EB">
        <w:rPr>
          <w:rFonts w:ascii="Times New Roman" w:hAnsi="Times New Roman"/>
          <w:sz w:val="26"/>
          <w:szCs w:val="26"/>
        </w:rPr>
        <w:t xml:space="preserve"> заключения на проекты законов Мурманской области «О внесении изменений в Закон Мурманской области «Об областном бюджете на 201</w:t>
      </w:r>
      <w:r w:rsidR="00476DBC">
        <w:rPr>
          <w:rFonts w:ascii="Times New Roman" w:hAnsi="Times New Roman"/>
          <w:sz w:val="26"/>
          <w:szCs w:val="26"/>
        </w:rPr>
        <w:t>9</w:t>
      </w:r>
      <w:r w:rsidR="0039530B" w:rsidRPr="006244EB">
        <w:rPr>
          <w:rFonts w:ascii="Times New Roman" w:hAnsi="Times New Roman"/>
          <w:sz w:val="26"/>
          <w:szCs w:val="26"/>
        </w:rPr>
        <w:t xml:space="preserve"> год и на плановый период 20</w:t>
      </w:r>
      <w:r w:rsidR="00476DBC">
        <w:rPr>
          <w:rFonts w:ascii="Times New Roman" w:hAnsi="Times New Roman"/>
          <w:sz w:val="26"/>
          <w:szCs w:val="26"/>
        </w:rPr>
        <w:t>20</w:t>
      </w:r>
      <w:r w:rsidR="0039530B" w:rsidRPr="006244EB">
        <w:rPr>
          <w:rFonts w:ascii="Times New Roman" w:hAnsi="Times New Roman"/>
          <w:sz w:val="26"/>
          <w:szCs w:val="26"/>
        </w:rPr>
        <w:t xml:space="preserve"> и 20</w:t>
      </w:r>
      <w:r w:rsidR="00002AAC" w:rsidRPr="006244EB">
        <w:rPr>
          <w:rFonts w:ascii="Times New Roman" w:hAnsi="Times New Roman"/>
          <w:sz w:val="26"/>
          <w:szCs w:val="26"/>
        </w:rPr>
        <w:t>2</w:t>
      </w:r>
      <w:r w:rsidR="00476DBC">
        <w:rPr>
          <w:rFonts w:ascii="Times New Roman" w:hAnsi="Times New Roman"/>
          <w:sz w:val="26"/>
          <w:szCs w:val="26"/>
        </w:rPr>
        <w:t>1</w:t>
      </w:r>
      <w:r w:rsidR="0039530B" w:rsidRPr="006244EB">
        <w:rPr>
          <w:rFonts w:ascii="Times New Roman" w:hAnsi="Times New Roman"/>
          <w:sz w:val="26"/>
          <w:szCs w:val="26"/>
        </w:rPr>
        <w:t xml:space="preserve"> годов»; </w:t>
      </w:r>
    </w:p>
    <w:p w:rsidR="0039530B" w:rsidRPr="006244EB" w:rsidRDefault="00A8344C" w:rsidP="006244EB">
      <w:pPr>
        <w:spacing w:after="0" w:line="240" w:lineRule="auto"/>
        <w:ind w:firstLine="709"/>
        <w:jc w:val="both"/>
        <w:rPr>
          <w:rFonts w:ascii="Times New Roman" w:hAnsi="Times New Roman"/>
          <w:sz w:val="26"/>
          <w:szCs w:val="26"/>
        </w:rPr>
      </w:pPr>
      <w:r w:rsidRPr="006244EB">
        <w:rPr>
          <w:rFonts w:ascii="Times New Roman" w:hAnsi="Times New Roman"/>
          <w:sz w:val="26"/>
          <w:szCs w:val="26"/>
        </w:rPr>
        <w:sym w:font="Symbol" w:char="F0B7"/>
      </w:r>
      <w:r w:rsidR="0039530B" w:rsidRPr="006244EB">
        <w:rPr>
          <w:rFonts w:ascii="Times New Roman" w:hAnsi="Times New Roman"/>
          <w:sz w:val="26"/>
          <w:szCs w:val="26"/>
        </w:rPr>
        <w:t xml:space="preserve"> 2 заключения на проект закона Мурманской области «О внесении изменений в Закон Мурманской области «О бюджете Территориального фонда обязательного медицинского страхования Мурманской области </w:t>
      </w:r>
      <w:r w:rsidR="00476DBC" w:rsidRPr="00476DBC">
        <w:rPr>
          <w:rFonts w:ascii="Times New Roman" w:hAnsi="Times New Roman"/>
          <w:sz w:val="26"/>
          <w:szCs w:val="26"/>
        </w:rPr>
        <w:t>на 2019 год и на плановый период 2020 и 2021 годов</w:t>
      </w:r>
      <w:r w:rsidR="0039530B" w:rsidRPr="006244EB">
        <w:rPr>
          <w:rFonts w:ascii="Times New Roman" w:hAnsi="Times New Roman"/>
          <w:sz w:val="26"/>
          <w:szCs w:val="26"/>
        </w:rPr>
        <w:t xml:space="preserve">»; </w:t>
      </w:r>
    </w:p>
    <w:p w:rsidR="0039530B" w:rsidRPr="006244EB" w:rsidRDefault="00A8344C" w:rsidP="006244EB">
      <w:pPr>
        <w:spacing w:after="0" w:line="240" w:lineRule="auto"/>
        <w:ind w:firstLine="709"/>
        <w:jc w:val="both"/>
        <w:rPr>
          <w:rFonts w:ascii="Times New Roman" w:hAnsi="Times New Roman"/>
          <w:sz w:val="26"/>
          <w:szCs w:val="26"/>
        </w:rPr>
      </w:pPr>
      <w:r w:rsidRPr="006244EB">
        <w:rPr>
          <w:rFonts w:ascii="Times New Roman" w:hAnsi="Times New Roman"/>
          <w:sz w:val="26"/>
          <w:szCs w:val="26"/>
        </w:rPr>
        <w:lastRenderedPageBreak/>
        <w:sym w:font="Symbol" w:char="F0B7"/>
      </w:r>
      <w:r w:rsidR="0039530B" w:rsidRPr="006244EB">
        <w:rPr>
          <w:rFonts w:ascii="Times New Roman" w:hAnsi="Times New Roman"/>
          <w:sz w:val="26"/>
          <w:szCs w:val="26"/>
        </w:rPr>
        <w:t xml:space="preserve"> заключение на проект закона Мурманской области «Об областном бюджете </w:t>
      </w:r>
      <w:r w:rsidR="00A42E6E" w:rsidRPr="006244EB">
        <w:rPr>
          <w:rFonts w:ascii="Times New Roman" w:hAnsi="Times New Roman"/>
          <w:sz w:val="26"/>
          <w:szCs w:val="26"/>
        </w:rPr>
        <w:t>на 20</w:t>
      </w:r>
      <w:r w:rsidR="00476DBC">
        <w:rPr>
          <w:rFonts w:ascii="Times New Roman" w:hAnsi="Times New Roman"/>
          <w:sz w:val="26"/>
          <w:szCs w:val="26"/>
        </w:rPr>
        <w:t>20</w:t>
      </w:r>
      <w:r w:rsidR="00A42E6E" w:rsidRPr="006244EB">
        <w:rPr>
          <w:rFonts w:ascii="Times New Roman" w:hAnsi="Times New Roman"/>
          <w:sz w:val="26"/>
          <w:szCs w:val="26"/>
        </w:rPr>
        <w:t xml:space="preserve"> год и на плановый период 202</w:t>
      </w:r>
      <w:r w:rsidR="00476DBC">
        <w:rPr>
          <w:rFonts w:ascii="Times New Roman" w:hAnsi="Times New Roman"/>
          <w:sz w:val="26"/>
          <w:szCs w:val="26"/>
        </w:rPr>
        <w:t>1</w:t>
      </w:r>
      <w:r w:rsidR="00A42E6E" w:rsidRPr="006244EB">
        <w:rPr>
          <w:rFonts w:ascii="Times New Roman" w:hAnsi="Times New Roman"/>
          <w:sz w:val="26"/>
          <w:szCs w:val="26"/>
        </w:rPr>
        <w:t xml:space="preserve"> и 202</w:t>
      </w:r>
      <w:r w:rsidR="00476DBC">
        <w:rPr>
          <w:rFonts w:ascii="Times New Roman" w:hAnsi="Times New Roman"/>
          <w:sz w:val="26"/>
          <w:szCs w:val="26"/>
        </w:rPr>
        <w:t>2</w:t>
      </w:r>
      <w:r w:rsidR="00A42E6E" w:rsidRPr="006244EB">
        <w:rPr>
          <w:rFonts w:ascii="Times New Roman" w:hAnsi="Times New Roman"/>
          <w:sz w:val="26"/>
          <w:szCs w:val="26"/>
        </w:rPr>
        <w:t xml:space="preserve"> годов</w:t>
      </w:r>
      <w:r w:rsidR="0039530B" w:rsidRPr="006244EB">
        <w:rPr>
          <w:rFonts w:ascii="Times New Roman" w:hAnsi="Times New Roman"/>
          <w:sz w:val="26"/>
          <w:szCs w:val="26"/>
        </w:rPr>
        <w:t>»;</w:t>
      </w:r>
    </w:p>
    <w:p w:rsidR="0039530B" w:rsidRPr="006244EB" w:rsidRDefault="00A8344C" w:rsidP="006244EB">
      <w:pPr>
        <w:spacing w:after="0" w:line="240" w:lineRule="auto"/>
        <w:ind w:firstLine="709"/>
        <w:jc w:val="both"/>
        <w:rPr>
          <w:rFonts w:ascii="Times New Roman" w:hAnsi="Times New Roman"/>
          <w:sz w:val="26"/>
          <w:szCs w:val="26"/>
        </w:rPr>
      </w:pPr>
      <w:r w:rsidRPr="006244EB">
        <w:rPr>
          <w:rFonts w:ascii="Times New Roman" w:hAnsi="Times New Roman"/>
          <w:sz w:val="26"/>
          <w:szCs w:val="26"/>
        </w:rPr>
        <w:sym w:font="Symbol" w:char="F0B7"/>
      </w:r>
      <w:r w:rsidR="0039530B" w:rsidRPr="006244EB">
        <w:rPr>
          <w:rFonts w:ascii="Times New Roman" w:hAnsi="Times New Roman"/>
          <w:sz w:val="26"/>
          <w:szCs w:val="26"/>
        </w:rPr>
        <w:t xml:space="preserve"> заключение на проект закона Мурманской области «О бюджете Территориального фонда обязательного медицинского страхования Мурманской области </w:t>
      </w:r>
      <w:r w:rsidR="00476DBC" w:rsidRPr="00476DBC">
        <w:rPr>
          <w:rFonts w:ascii="Times New Roman" w:hAnsi="Times New Roman"/>
          <w:sz w:val="26"/>
          <w:szCs w:val="26"/>
        </w:rPr>
        <w:t>на 2020 год и на плановый период 2021 и 2022 годов</w:t>
      </w:r>
      <w:r w:rsidR="0039530B" w:rsidRPr="006244EB">
        <w:rPr>
          <w:rFonts w:ascii="Times New Roman" w:hAnsi="Times New Roman"/>
          <w:sz w:val="26"/>
          <w:szCs w:val="26"/>
        </w:rPr>
        <w:t>»;</w:t>
      </w:r>
    </w:p>
    <w:p w:rsidR="0039530B" w:rsidRPr="006244EB" w:rsidRDefault="00A8344C" w:rsidP="006244EB">
      <w:pPr>
        <w:spacing w:after="0" w:line="240" w:lineRule="auto"/>
        <w:ind w:firstLine="709"/>
        <w:jc w:val="both"/>
        <w:rPr>
          <w:rFonts w:ascii="Times New Roman" w:hAnsi="Times New Roman"/>
          <w:sz w:val="26"/>
          <w:szCs w:val="26"/>
        </w:rPr>
      </w:pPr>
      <w:r w:rsidRPr="006244EB">
        <w:rPr>
          <w:rFonts w:ascii="Times New Roman" w:hAnsi="Times New Roman"/>
          <w:sz w:val="26"/>
          <w:szCs w:val="26"/>
        </w:rPr>
        <w:sym w:font="Symbol" w:char="F0B7"/>
      </w:r>
      <w:r w:rsidR="0039530B" w:rsidRPr="006244EB">
        <w:rPr>
          <w:rFonts w:ascii="Times New Roman" w:hAnsi="Times New Roman"/>
          <w:sz w:val="26"/>
          <w:szCs w:val="26"/>
        </w:rPr>
        <w:t xml:space="preserve"> заключение на </w:t>
      </w:r>
      <w:r w:rsidR="00EC4F66">
        <w:rPr>
          <w:rFonts w:ascii="Times New Roman" w:hAnsi="Times New Roman"/>
          <w:sz w:val="26"/>
          <w:szCs w:val="26"/>
        </w:rPr>
        <w:t xml:space="preserve">годовой </w:t>
      </w:r>
      <w:r w:rsidR="0039530B" w:rsidRPr="006244EB">
        <w:rPr>
          <w:rFonts w:ascii="Times New Roman" w:hAnsi="Times New Roman"/>
          <w:sz w:val="26"/>
          <w:szCs w:val="26"/>
        </w:rPr>
        <w:t>отчет об исполнении областного бюджета за 201</w:t>
      </w:r>
      <w:r w:rsidR="00476DBC">
        <w:rPr>
          <w:rFonts w:ascii="Times New Roman" w:hAnsi="Times New Roman"/>
          <w:sz w:val="26"/>
          <w:szCs w:val="26"/>
        </w:rPr>
        <w:t>8</w:t>
      </w:r>
      <w:r w:rsidR="0039530B" w:rsidRPr="006244EB">
        <w:rPr>
          <w:rFonts w:ascii="Times New Roman" w:hAnsi="Times New Roman"/>
          <w:sz w:val="26"/>
          <w:szCs w:val="26"/>
        </w:rPr>
        <w:t xml:space="preserve"> год; </w:t>
      </w:r>
    </w:p>
    <w:p w:rsidR="0039530B" w:rsidRPr="006244EB" w:rsidRDefault="00A8344C" w:rsidP="006244EB">
      <w:pPr>
        <w:spacing w:after="0" w:line="240" w:lineRule="auto"/>
        <w:ind w:firstLine="709"/>
        <w:jc w:val="both"/>
        <w:rPr>
          <w:rFonts w:ascii="Times New Roman" w:hAnsi="Times New Roman"/>
          <w:sz w:val="26"/>
          <w:szCs w:val="26"/>
        </w:rPr>
      </w:pPr>
      <w:r w:rsidRPr="006244EB">
        <w:rPr>
          <w:rFonts w:ascii="Times New Roman" w:hAnsi="Times New Roman"/>
          <w:sz w:val="26"/>
          <w:szCs w:val="26"/>
        </w:rPr>
        <w:sym w:font="Symbol" w:char="F0B7"/>
      </w:r>
      <w:r w:rsidR="0039530B" w:rsidRPr="006244EB">
        <w:rPr>
          <w:rFonts w:ascii="Times New Roman" w:hAnsi="Times New Roman"/>
          <w:sz w:val="26"/>
          <w:szCs w:val="26"/>
        </w:rPr>
        <w:t xml:space="preserve"> заключение на отчет об исполнении бюджета Территориального фонда обязательного медицинского страхования Мурманской области за 201</w:t>
      </w:r>
      <w:r w:rsidR="00476DBC">
        <w:rPr>
          <w:rFonts w:ascii="Times New Roman" w:hAnsi="Times New Roman"/>
          <w:sz w:val="26"/>
          <w:szCs w:val="26"/>
        </w:rPr>
        <w:t>8</w:t>
      </w:r>
      <w:r w:rsidR="0039530B" w:rsidRPr="006244EB">
        <w:rPr>
          <w:rFonts w:ascii="Times New Roman" w:hAnsi="Times New Roman"/>
          <w:sz w:val="26"/>
          <w:szCs w:val="26"/>
        </w:rPr>
        <w:t xml:space="preserve"> год;</w:t>
      </w:r>
    </w:p>
    <w:p w:rsidR="00EC343D" w:rsidRPr="006244EB" w:rsidRDefault="00A8344C" w:rsidP="006244EB">
      <w:pPr>
        <w:spacing w:after="0" w:line="240" w:lineRule="auto"/>
        <w:ind w:firstLine="709"/>
        <w:jc w:val="both"/>
        <w:rPr>
          <w:rFonts w:ascii="Times New Roman" w:hAnsi="Times New Roman"/>
          <w:sz w:val="26"/>
          <w:szCs w:val="26"/>
        </w:rPr>
      </w:pPr>
      <w:r w:rsidRPr="006244EB">
        <w:rPr>
          <w:rFonts w:ascii="Times New Roman" w:hAnsi="Times New Roman"/>
          <w:sz w:val="26"/>
          <w:szCs w:val="26"/>
        </w:rPr>
        <w:sym w:font="Symbol" w:char="F0B7"/>
      </w:r>
      <w:r w:rsidR="0039530B" w:rsidRPr="006244EB">
        <w:rPr>
          <w:rFonts w:ascii="Times New Roman" w:hAnsi="Times New Roman"/>
          <w:sz w:val="26"/>
          <w:szCs w:val="26"/>
        </w:rPr>
        <w:t xml:space="preserve"> 4 заключения на годовые отчеты об исполнении</w:t>
      </w:r>
      <w:r w:rsidR="00EC4F66">
        <w:rPr>
          <w:rFonts w:ascii="Times New Roman" w:hAnsi="Times New Roman"/>
          <w:sz w:val="26"/>
          <w:szCs w:val="26"/>
        </w:rPr>
        <w:t xml:space="preserve"> местных</w:t>
      </w:r>
      <w:r w:rsidR="0039530B" w:rsidRPr="006244EB">
        <w:rPr>
          <w:rFonts w:ascii="Times New Roman" w:hAnsi="Times New Roman"/>
          <w:sz w:val="26"/>
          <w:szCs w:val="26"/>
        </w:rPr>
        <w:t xml:space="preserve"> бюджетов</w:t>
      </w:r>
      <w:r w:rsidR="00EC4F66">
        <w:rPr>
          <w:rFonts w:ascii="Times New Roman" w:hAnsi="Times New Roman"/>
          <w:sz w:val="26"/>
          <w:szCs w:val="26"/>
        </w:rPr>
        <w:t xml:space="preserve"> за 2018 год</w:t>
      </w:r>
      <w:r w:rsidR="0039530B" w:rsidRPr="006244EB">
        <w:rPr>
          <w:rFonts w:ascii="Times New Roman" w:hAnsi="Times New Roman"/>
          <w:sz w:val="26"/>
          <w:szCs w:val="26"/>
        </w:rPr>
        <w:t xml:space="preserve"> муниципальных образований: </w:t>
      </w:r>
      <w:r w:rsidR="00E044B0">
        <w:rPr>
          <w:rFonts w:ascii="Times New Roman" w:hAnsi="Times New Roman"/>
          <w:sz w:val="26"/>
          <w:szCs w:val="26"/>
        </w:rPr>
        <w:t xml:space="preserve">Терский район, </w:t>
      </w:r>
      <w:r w:rsidR="00476DBC">
        <w:rPr>
          <w:rFonts w:ascii="Times New Roman" w:hAnsi="Times New Roman"/>
          <w:sz w:val="26"/>
          <w:szCs w:val="26"/>
        </w:rPr>
        <w:t>сельское</w:t>
      </w:r>
      <w:r w:rsidR="0039530B" w:rsidRPr="006244EB">
        <w:rPr>
          <w:rFonts w:ascii="Times New Roman" w:hAnsi="Times New Roman"/>
          <w:sz w:val="26"/>
          <w:szCs w:val="26"/>
        </w:rPr>
        <w:t xml:space="preserve"> поселение </w:t>
      </w:r>
      <w:proofErr w:type="spellStart"/>
      <w:r w:rsidR="00476DBC">
        <w:rPr>
          <w:rFonts w:ascii="Times New Roman" w:hAnsi="Times New Roman"/>
          <w:sz w:val="26"/>
          <w:szCs w:val="26"/>
        </w:rPr>
        <w:t>Корзуново</w:t>
      </w:r>
      <w:proofErr w:type="spellEnd"/>
      <w:r w:rsidR="00476DBC">
        <w:rPr>
          <w:rFonts w:ascii="Times New Roman" w:hAnsi="Times New Roman"/>
          <w:sz w:val="26"/>
          <w:szCs w:val="26"/>
        </w:rPr>
        <w:t xml:space="preserve"> </w:t>
      </w:r>
      <w:proofErr w:type="spellStart"/>
      <w:r w:rsidR="00476DBC">
        <w:rPr>
          <w:rFonts w:ascii="Times New Roman" w:hAnsi="Times New Roman"/>
          <w:sz w:val="26"/>
          <w:szCs w:val="26"/>
        </w:rPr>
        <w:t>Печенгского</w:t>
      </w:r>
      <w:proofErr w:type="spellEnd"/>
      <w:r w:rsidR="00476DBC">
        <w:rPr>
          <w:rFonts w:ascii="Times New Roman" w:hAnsi="Times New Roman"/>
          <w:sz w:val="26"/>
          <w:szCs w:val="26"/>
        </w:rPr>
        <w:t xml:space="preserve"> района</w:t>
      </w:r>
      <w:r w:rsidR="0039530B" w:rsidRPr="006244EB">
        <w:rPr>
          <w:rFonts w:ascii="Times New Roman" w:hAnsi="Times New Roman"/>
          <w:sz w:val="26"/>
          <w:szCs w:val="26"/>
        </w:rPr>
        <w:t xml:space="preserve">, </w:t>
      </w:r>
      <w:r w:rsidR="00476DBC">
        <w:rPr>
          <w:rFonts w:ascii="Times New Roman" w:hAnsi="Times New Roman"/>
          <w:sz w:val="26"/>
          <w:szCs w:val="26"/>
        </w:rPr>
        <w:t>сельское</w:t>
      </w:r>
      <w:r w:rsidR="0039530B" w:rsidRPr="006244EB">
        <w:rPr>
          <w:rFonts w:ascii="Times New Roman" w:hAnsi="Times New Roman"/>
          <w:sz w:val="26"/>
          <w:szCs w:val="26"/>
        </w:rPr>
        <w:t xml:space="preserve"> поселение </w:t>
      </w:r>
      <w:r w:rsidR="00476DBC">
        <w:rPr>
          <w:rFonts w:ascii="Times New Roman" w:hAnsi="Times New Roman"/>
          <w:sz w:val="26"/>
          <w:szCs w:val="26"/>
        </w:rPr>
        <w:t>Зареченск Кандалакшского района</w:t>
      </w:r>
      <w:r w:rsidR="0039530B" w:rsidRPr="006244EB">
        <w:rPr>
          <w:rFonts w:ascii="Times New Roman" w:hAnsi="Times New Roman"/>
          <w:sz w:val="26"/>
          <w:szCs w:val="26"/>
        </w:rPr>
        <w:t>, ЗАТО город Островной</w:t>
      </w:r>
      <w:r w:rsidR="00545822" w:rsidRPr="006244EB">
        <w:rPr>
          <w:rFonts w:ascii="Times New Roman" w:hAnsi="Times New Roman"/>
          <w:sz w:val="26"/>
          <w:szCs w:val="26"/>
        </w:rPr>
        <w:t>.</w:t>
      </w:r>
      <w:r w:rsidR="00EC343D" w:rsidRPr="006244EB">
        <w:rPr>
          <w:rFonts w:ascii="Times New Roman" w:hAnsi="Times New Roman"/>
          <w:sz w:val="26"/>
          <w:szCs w:val="26"/>
        </w:rPr>
        <w:t xml:space="preserve"> </w:t>
      </w:r>
    </w:p>
    <w:p w:rsidR="00AE158F" w:rsidRPr="006244EB" w:rsidRDefault="00C44EAD" w:rsidP="006244EB">
      <w:pPr>
        <w:spacing w:after="0" w:line="240" w:lineRule="auto"/>
        <w:ind w:firstLine="709"/>
        <w:jc w:val="both"/>
        <w:rPr>
          <w:rFonts w:ascii="Times New Roman" w:hAnsi="Times New Roman"/>
          <w:sz w:val="26"/>
          <w:szCs w:val="26"/>
        </w:rPr>
      </w:pPr>
      <w:r w:rsidRPr="006244EB">
        <w:rPr>
          <w:rFonts w:ascii="Times New Roman" w:hAnsi="Times New Roman"/>
          <w:sz w:val="26"/>
          <w:szCs w:val="26"/>
        </w:rPr>
        <w:t xml:space="preserve">Кроме того, в Мурманскую областную Думу и Губернатору Мурманской области были направлены информационные и аналитические материалы. </w:t>
      </w:r>
    </w:p>
    <w:p w:rsidR="00C44EAD" w:rsidRPr="006244EB" w:rsidRDefault="00C44EAD" w:rsidP="006244EB">
      <w:pPr>
        <w:spacing w:after="0" w:line="240" w:lineRule="auto"/>
        <w:ind w:firstLine="709"/>
        <w:jc w:val="both"/>
        <w:rPr>
          <w:rFonts w:ascii="Times New Roman" w:hAnsi="Times New Roman"/>
          <w:sz w:val="26"/>
          <w:szCs w:val="26"/>
        </w:rPr>
      </w:pPr>
    </w:p>
    <w:p w:rsidR="00AE158F" w:rsidRPr="006244EB" w:rsidRDefault="00AE158F" w:rsidP="000C0E65">
      <w:pPr>
        <w:spacing w:after="0" w:line="240" w:lineRule="auto"/>
        <w:ind w:firstLine="709"/>
        <w:jc w:val="center"/>
        <w:rPr>
          <w:rFonts w:ascii="Times New Roman" w:hAnsi="Times New Roman"/>
          <w:b/>
          <w:sz w:val="26"/>
          <w:szCs w:val="26"/>
        </w:rPr>
      </w:pPr>
      <w:r w:rsidRPr="006244EB">
        <w:rPr>
          <w:rFonts w:ascii="Times New Roman" w:hAnsi="Times New Roman"/>
          <w:b/>
          <w:sz w:val="26"/>
          <w:szCs w:val="26"/>
        </w:rPr>
        <w:t>1. Заключения на проекты законов Мурманской области о</w:t>
      </w:r>
      <w:r w:rsidR="004357BD" w:rsidRPr="006244EB">
        <w:rPr>
          <w:rFonts w:ascii="Times New Roman" w:hAnsi="Times New Roman"/>
          <w:b/>
          <w:sz w:val="26"/>
          <w:szCs w:val="26"/>
        </w:rPr>
        <w:t>б областном</w:t>
      </w:r>
      <w:r w:rsidRPr="006244EB">
        <w:rPr>
          <w:rFonts w:ascii="Times New Roman" w:hAnsi="Times New Roman"/>
          <w:b/>
          <w:sz w:val="26"/>
          <w:szCs w:val="26"/>
        </w:rPr>
        <w:t xml:space="preserve"> бюджете и о бюджете Территориального фонда обязательного медицинского страхования Мурманской области</w:t>
      </w:r>
    </w:p>
    <w:p w:rsidR="002C68B5" w:rsidRPr="006244EB" w:rsidRDefault="002C68B5" w:rsidP="000C0E65">
      <w:pPr>
        <w:spacing w:after="0" w:line="120" w:lineRule="auto"/>
        <w:ind w:firstLine="709"/>
        <w:jc w:val="both"/>
        <w:rPr>
          <w:rFonts w:ascii="Times New Roman" w:hAnsi="Times New Roman"/>
          <w:sz w:val="26"/>
          <w:szCs w:val="26"/>
        </w:rPr>
      </w:pPr>
    </w:p>
    <w:p w:rsidR="00AC0370" w:rsidRPr="006244EB" w:rsidRDefault="00AC0370" w:rsidP="006244EB">
      <w:pPr>
        <w:spacing w:after="0" w:line="240" w:lineRule="auto"/>
        <w:ind w:firstLine="709"/>
        <w:jc w:val="both"/>
        <w:rPr>
          <w:rFonts w:ascii="Times New Roman" w:hAnsi="Times New Roman"/>
          <w:i/>
          <w:sz w:val="26"/>
          <w:szCs w:val="26"/>
        </w:rPr>
      </w:pPr>
      <w:r w:rsidRPr="006244EB">
        <w:rPr>
          <w:rFonts w:ascii="Times New Roman" w:hAnsi="Times New Roman"/>
          <w:b/>
          <w:sz w:val="26"/>
          <w:szCs w:val="26"/>
        </w:rPr>
        <w:t>1.</w:t>
      </w:r>
      <w:r w:rsidR="00FF60FB" w:rsidRPr="006244EB">
        <w:rPr>
          <w:rFonts w:ascii="Times New Roman" w:hAnsi="Times New Roman"/>
          <w:b/>
          <w:sz w:val="26"/>
          <w:szCs w:val="26"/>
        </w:rPr>
        <w:t>1.</w:t>
      </w:r>
      <w:r w:rsidRPr="006244EB">
        <w:rPr>
          <w:rFonts w:ascii="Times New Roman" w:hAnsi="Times New Roman"/>
          <w:b/>
          <w:sz w:val="26"/>
          <w:szCs w:val="26"/>
        </w:rPr>
        <w:t xml:space="preserve">  </w:t>
      </w:r>
      <w:r w:rsidR="00136CC4" w:rsidRPr="006244EB">
        <w:rPr>
          <w:rFonts w:ascii="Times New Roman" w:hAnsi="Times New Roman"/>
          <w:sz w:val="26"/>
          <w:szCs w:val="26"/>
        </w:rPr>
        <w:t>В результате проведенной</w:t>
      </w:r>
      <w:r w:rsidR="00136CC4" w:rsidRPr="006244EB">
        <w:rPr>
          <w:rFonts w:ascii="Times New Roman" w:hAnsi="Times New Roman"/>
          <w:b/>
          <w:sz w:val="26"/>
          <w:szCs w:val="26"/>
        </w:rPr>
        <w:t xml:space="preserve"> экспертизы </w:t>
      </w:r>
      <w:r w:rsidRPr="006244EB">
        <w:rPr>
          <w:rFonts w:ascii="Times New Roman" w:hAnsi="Times New Roman"/>
          <w:b/>
          <w:sz w:val="26"/>
          <w:szCs w:val="26"/>
        </w:rPr>
        <w:t>проект</w:t>
      </w:r>
      <w:r w:rsidR="00136CC4" w:rsidRPr="006244EB">
        <w:rPr>
          <w:rFonts w:ascii="Times New Roman" w:hAnsi="Times New Roman"/>
          <w:b/>
          <w:sz w:val="26"/>
          <w:szCs w:val="26"/>
        </w:rPr>
        <w:t xml:space="preserve">а </w:t>
      </w:r>
      <w:r w:rsidRPr="006244EB">
        <w:rPr>
          <w:rFonts w:ascii="Times New Roman" w:hAnsi="Times New Roman"/>
          <w:b/>
          <w:sz w:val="26"/>
          <w:szCs w:val="26"/>
        </w:rPr>
        <w:t>закон</w:t>
      </w:r>
      <w:r w:rsidR="00136CC4" w:rsidRPr="006244EB">
        <w:rPr>
          <w:rFonts w:ascii="Times New Roman" w:hAnsi="Times New Roman"/>
          <w:b/>
          <w:sz w:val="26"/>
          <w:szCs w:val="26"/>
        </w:rPr>
        <w:t>а</w:t>
      </w:r>
      <w:r w:rsidRPr="006244EB">
        <w:rPr>
          <w:rFonts w:ascii="Times New Roman" w:hAnsi="Times New Roman"/>
          <w:b/>
          <w:sz w:val="26"/>
          <w:szCs w:val="26"/>
        </w:rPr>
        <w:t xml:space="preserve"> об областном бюджете на 20</w:t>
      </w:r>
      <w:r w:rsidR="00E044B0">
        <w:rPr>
          <w:rFonts w:ascii="Times New Roman" w:hAnsi="Times New Roman"/>
          <w:b/>
          <w:sz w:val="26"/>
          <w:szCs w:val="26"/>
        </w:rPr>
        <w:t>20</w:t>
      </w:r>
      <w:r w:rsidRPr="006244EB">
        <w:rPr>
          <w:rFonts w:ascii="Times New Roman" w:hAnsi="Times New Roman"/>
          <w:b/>
          <w:sz w:val="26"/>
          <w:szCs w:val="26"/>
        </w:rPr>
        <w:t xml:space="preserve"> год и плановый период 20</w:t>
      </w:r>
      <w:r w:rsidR="00D16852" w:rsidRPr="006244EB">
        <w:rPr>
          <w:rFonts w:ascii="Times New Roman" w:hAnsi="Times New Roman"/>
          <w:b/>
          <w:sz w:val="26"/>
          <w:szCs w:val="26"/>
        </w:rPr>
        <w:t>2</w:t>
      </w:r>
      <w:r w:rsidR="00E044B0">
        <w:rPr>
          <w:rFonts w:ascii="Times New Roman" w:hAnsi="Times New Roman"/>
          <w:b/>
          <w:sz w:val="26"/>
          <w:szCs w:val="26"/>
        </w:rPr>
        <w:t>1</w:t>
      </w:r>
      <w:r w:rsidRPr="006244EB">
        <w:rPr>
          <w:rFonts w:ascii="Times New Roman" w:hAnsi="Times New Roman"/>
          <w:b/>
          <w:sz w:val="26"/>
          <w:szCs w:val="26"/>
        </w:rPr>
        <w:t xml:space="preserve"> и 202</w:t>
      </w:r>
      <w:r w:rsidR="00E044B0">
        <w:rPr>
          <w:rFonts w:ascii="Times New Roman" w:hAnsi="Times New Roman"/>
          <w:b/>
          <w:sz w:val="26"/>
          <w:szCs w:val="26"/>
        </w:rPr>
        <w:t>2</w:t>
      </w:r>
      <w:r w:rsidRPr="006244EB">
        <w:rPr>
          <w:rFonts w:ascii="Times New Roman" w:hAnsi="Times New Roman"/>
          <w:b/>
          <w:sz w:val="26"/>
          <w:szCs w:val="26"/>
        </w:rPr>
        <w:t xml:space="preserve"> годов</w:t>
      </w:r>
      <w:r w:rsidR="00136CC4" w:rsidRPr="006244EB">
        <w:rPr>
          <w:rFonts w:ascii="Times New Roman" w:hAnsi="Times New Roman"/>
          <w:b/>
          <w:sz w:val="26"/>
          <w:szCs w:val="26"/>
        </w:rPr>
        <w:t xml:space="preserve"> </w:t>
      </w:r>
      <w:r w:rsidRPr="006244EB">
        <w:rPr>
          <w:rFonts w:ascii="Times New Roman" w:hAnsi="Times New Roman"/>
          <w:sz w:val="26"/>
          <w:szCs w:val="26"/>
        </w:rPr>
        <w:t>отмечено:</w:t>
      </w:r>
      <w:r w:rsidRPr="006244EB">
        <w:rPr>
          <w:rFonts w:ascii="Times New Roman" w:hAnsi="Times New Roman"/>
          <w:i/>
          <w:sz w:val="26"/>
          <w:szCs w:val="26"/>
        </w:rPr>
        <w:t xml:space="preserve"> </w:t>
      </w:r>
    </w:p>
    <w:p w:rsidR="00AC0370" w:rsidRPr="008B3537" w:rsidRDefault="00AC0370" w:rsidP="006244EB">
      <w:pPr>
        <w:spacing w:after="0" w:line="240" w:lineRule="auto"/>
        <w:ind w:firstLine="709"/>
        <w:jc w:val="both"/>
        <w:rPr>
          <w:rFonts w:ascii="Times New Roman" w:hAnsi="Times New Roman"/>
          <w:sz w:val="26"/>
          <w:szCs w:val="26"/>
        </w:rPr>
      </w:pPr>
      <w:r w:rsidRPr="008B3537">
        <w:rPr>
          <w:rFonts w:ascii="Times New Roman" w:hAnsi="Times New Roman"/>
          <w:sz w:val="26"/>
          <w:szCs w:val="26"/>
        </w:rPr>
        <w:sym w:font="Symbol" w:char="F0B7"/>
      </w:r>
      <w:r w:rsidRPr="008B3537">
        <w:rPr>
          <w:rFonts w:ascii="Times New Roman" w:hAnsi="Times New Roman"/>
          <w:sz w:val="26"/>
          <w:szCs w:val="26"/>
        </w:rPr>
        <w:t xml:space="preserve"> законопроект в целом основан на положениях документов, указанных в пункте 2 статьи 13 Закона Мурманской области от 11.12.2007 № 919-01-ЗМО «О бюджетном процессе в Мурманской области»</w:t>
      </w:r>
      <w:r w:rsidR="00E61009">
        <w:rPr>
          <w:rFonts w:ascii="Times New Roman" w:hAnsi="Times New Roman"/>
          <w:sz w:val="26"/>
          <w:szCs w:val="26"/>
        </w:rPr>
        <w:t>.</w:t>
      </w:r>
      <w:r w:rsidRPr="008B3537">
        <w:rPr>
          <w:rFonts w:ascii="Times New Roman" w:hAnsi="Times New Roman"/>
          <w:sz w:val="26"/>
          <w:szCs w:val="26"/>
        </w:rPr>
        <w:t xml:space="preserve"> Структура и содержание законопроекта в целом соответствует Бюджетному кодексу РФ и другим нормативным правовым актам, методическим документам;</w:t>
      </w:r>
    </w:p>
    <w:p w:rsidR="00990927" w:rsidRPr="008B3537" w:rsidRDefault="00074E42" w:rsidP="00810FDF">
      <w:pPr>
        <w:spacing w:after="0" w:line="240" w:lineRule="auto"/>
        <w:ind w:firstLine="709"/>
        <w:jc w:val="both"/>
        <w:rPr>
          <w:rFonts w:ascii="Times New Roman" w:hAnsi="Times New Roman"/>
          <w:sz w:val="26"/>
          <w:szCs w:val="26"/>
        </w:rPr>
      </w:pPr>
      <w:r w:rsidRPr="008B3537">
        <w:rPr>
          <w:rFonts w:ascii="Times New Roman" w:hAnsi="Times New Roman"/>
          <w:sz w:val="26"/>
          <w:szCs w:val="26"/>
        </w:rPr>
        <w:sym w:font="Symbol" w:char="F0B7"/>
      </w:r>
      <w:r w:rsidRPr="008B3537">
        <w:rPr>
          <w:rFonts w:ascii="Times New Roman" w:hAnsi="Times New Roman"/>
          <w:sz w:val="26"/>
          <w:szCs w:val="26"/>
        </w:rPr>
        <w:t xml:space="preserve"> о</w:t>
      </w:r>
      <w:r w:rsidR="00990927" w:rsidRPr="008B3537">
        <w:rPr>
          <w:rFonts w:ascii="Times New Roman" w:hAnsi="Times New Roman"/>
          <w:sz w:val="26"/>
          <w:szCs w:val="26"/>
        </w:rPr>
        <w:t>бщий объем доходов областного бюджета на 20</w:t>
      </w:r>
      <w:r w:rsidR="008B3537" w:rsidRPr="008B3537">
        <w:rPr>
          <w:rFonts w:ascii="Times New Roman" w:hAnsi="Times New Roman"/>
          <w:sz w:val="26"/>
          <w:szCs w:val="26"/>
        </w:rPr>
        <w:t>20</w:t>
      </w:r>
      <w:r w:rsidR="00990927" w:rsidRPr="008B3537">
        <w:rPr>
          <w:rFonts w:ascii="Times New Roman" w:hAnsi="Times New Roman"/>
          <w:sz w:val="26"/>
          <w:szCs w:val="26"/>
        </w:rPr>
        <w:t xml:space="preserve"> год предусмотрен законопроектом в сумме </w:t>
      </w:r>
      <w:r w:rsidR="008B3537" w:rsidRPr="008B3537">
        <w:rPr>
          <w:rFonts w:ascii="Times New Roman" w:hAnsi="Times New Roman"/>
          <w:sz w:val="26"/>
          <w:szCs w:val="26"/>
        </w:rPr>
        <w:t xml:space="preserve">73 916 599,4 </w:t>
      </w:r>
      <w:r w:rsidR="00990927" w:rsidRPr="008B3537">
        <w:rPr>
          <w:rFonts w:ascii="Times New Roman" w:hAnsi="Times New Roman"/>
          <w:sz w:val="26"/>
          <w:szCs w:val="26"/>
        </w:rPr>
        <w:t xml:space="preserve">тыс. рублей, что на </w:t>
      </w:r>
      <w:r w:rsidR="008B3537" w:rsidRPr="008B3537">
        <w:rPr>
          <w:rFonts w:ascii="Times New Roman" w:hAnsi="Times New Roman"/>
          <w:sz w:val="26"/>
          <w:szCs w:val="26"/>
        </w:rPr>
        <w:t>5,3 %</w:t>
      </w:r>
      <w:r w:rsidR="00990927" w:rsidRPr="008B3537">
        <w:rPr>
          <w:rFonts w:ascii="Times New Roman" w:hAnsi="Times New Roman"/>
          <w:sz w:val="26"/>
          <w:szCs w:val="26"/>
        </w:rPr>
        <w:t xml:space="preserve"> больше назначений, утвержденных Законом о бюджете на 201</w:t>
      </w:r>
      <w:r w:rsidR="008B3537" w:rsidRPr="008B3537">
        <w:rPr>
          <w:rFonts w:ascii="Times New Roman" w:hAnsi="Times New Roman"/>
          <w:sz w:val="26"/>
          <w:szCs w:val="26"/>
        </w:rPr>
        <w:t>9</w:t>
      </w:r>
      <w:r w:rsidR="00990927" w:rsidRPr="008B3537">
        <w:rPr>
          <w:rFonts w:ascii="Times New Roman" w:hAnsi="Times New Roman"/>
          <w:sz w:val="26"/>
          <w:szCs w:val="26"/>
        </w:rPr>
        <w:t xml:space="preserve"> год, </w:t>
      </w:r>
      <w:r w:rsidR="008B3537" w:rsidRPr="008B3537">
        <w:rPr>
          <w:rFonts w:ascii="Times New Roman" w:hAnsi="Times New Roman"/>
          <w:sz w:val="26"/>
          <w:szCs w:val="26"/>
        </w:rPr>
        <w:t>при этом налоговые и неналоговые доходы увеличены на 4,3 %, объем безвозмездных поступлений увеличен на 11,3 %</w:t>
      </w:r>
      <w:r w:rsidR="00A8344C" w:rsidRPr="008B3537">
        <w:rPr>
          <w:rFonts w:ascii="Times New Roman" w:hAnsi="Times New Roman"/>
          <w:sz w:val="26"/>
          <w:szCs w:val="26"/>
        </w:rPr>
        <w:t>;</w:t>
      </w:r>
    </w:p>
    <w:p w:rsidR="008B3537" w:rsidRPr="00810FDF" w:rsidRDefault="00AC0370" w:rsidP="00810FDF">
      <w:pPr>
        <w:spacing w:after="0" w:line="240" w:lineRule="auto"/>
        <w:ind w:firstLine="709"/>
        <w:jc w:val="both"/>
        <w:rPr>
          <w:rFonts w:ascii="Times New Roman" w:hAnsi="Times New Roman"/>
          <w:sz w:val="26"/>
          <w:szCs w:val="26"/>
        </w:rPr>
      </w:pPr>
      <w:r w:rsidRPr="00810FDF">
        <w:rPr>
          <w:rFonts w:ascii="Times New Roman" w:hAnsi="Times New Roman"/>
          <w:sz w:val="26"/>
          <w:szCs w:val="26"/>
        </w:rPr>
        <w:sym w:font="Symbol" w:char="F0B7"/>
      </w:r>
      <w:r w:rsidRPr="00810FDF">
        <w:rPr>
          <w:rFonts w:ascii="Times New Roman" w:hAnsi="Times New Roman"/>
          <w:sz w:val="26"/>
          <w:szCs w:val="26"/>
        </w:rPr>
        <w:t xml:space="preserve"> </w:t>
      </w:r>
      <w:r w:rsidR="00810FDF">
        <w:rPr>
          <w:rFonts w:ascii="Times New Roman" w:hAnsi="Times New Roman"/>
          <w:sz w:val="26"/>
          <w:szCs w:val="26"/>
        </w:rPr>
        <w:t>о</w:t>
      </w:r>
      <w:r w:rsidR="008B3537" w:rsidRPr="00810FDF">
        <w:rPr>
          <w:rFonts w:ascii="Times New Roman" w:hAnsi="Times New Roman"/>
          <w:sz w:val="26"/>
          <w:szCs w:val="26"/>
        </w:rPr>
        <w:t>бластной бюджет на 2020 год прогнозируется с дефицитом в сумме 3 048 376,7 тыс. рублей. На плановый период 2021 года областной бюджет прогнозируется с дефицитом в сумме 668 369,8 тыс. рублей, на 2022 год – с профицитом в сумме 106 385,1 тыс. рублей.</w:t>
      </w:r>
    </w:p>
    <w:p w:rsidR="00AC0370" w:rsidRPr="00E044B0" w:rsidRDefault="008B3537" w:rsidP="008B3537">
      <w:pPr>
        <w:pStyle w:val="60"/>
        <w:spacing w:before="0"/>
        <w:rPr>
          <w:szCs w:val="26"/>
          <w:highlight w:val="yellow"/>
        </w:rPr>
      </w:pPr>
      <w:r w:rsidRPr="008B3537">
        <w:rPr>
          <w:szCs w:val="26"/>
        </w:rPr>
        <w:t>Размер дефицита областного бюджета, предусмотренный законопроектом на 2020 год и на плановый период 2021 года, соответствует ограничениям, установленным статьей 92.1 Бюджетного кодекса РФ и не превышает объем дефицита бюджета, предусмотренный в разделе 3 Основных направлений бюджетной политики – не выше 10 % от суммы доходов областного бюджета без учета безвозмездных поступлений</w:t>
      </w:r>
      <w:r w:rsidR="00AC0370" w:rsidRPr="008B3537">
        <w:rPr>
          <w:szCs w:val="26"/>
        </w:rPr>
        <w:t>;</w:t>
      </w:r>
    </w:p>
    <w:p w:rsidR="00E61009" w:rsidRPr="00E61009" w:rsidRDefault="00AC0370" w:rsidP="00E61009">
      <w:pPr>
        <w:spacing w:after="0" w:line="240" w:lineRule="auto"/>
        <w:ind w:firstLine="709"/>
        <w:jc w:val="both"/>
        <w:rPr>
          <w:rFonts w:ascii="Times New Roman" w:hAnsi="Times New Roman"/>
          <w:sz w:val="26"/>
          <w:szCs w:val="26"/>
        </w:rPr>
      </w:pPr>
      <w:r w:rsidRPr="00E61009">
        <w:rPr>
          <w:rFonts w:ascii="Times New Roman" w:hAnsi="Times New Roman"/>
          <w:sz w:val="26"/>
          <w:szCs w:val="26"/>
        </w:rPr>
        <w:sym w:font="Symbol" w:char="F0B7"/>
      </w:r>
      <w:r w:rsidRPr="00E61009">
        <w:rPr>
          <w:rFonts w:ascii="Times New Roman" w:hAnsi="Times New Roman"/>
          <w:sz w:val="26"/>
          <w:szCs w:val="26"/>
        </w:rPr>
        <w:t xml:space="preserve"> </w:t>
      </w:r>
      <w:r w:rsidR="00810FDF">
        <w:rPr>
          <w:rFonts w:ascii="Times New Roman" w:hAnsi="Times New Roman"/>
          <w:sz w:val="26"/>
          <w:szCs w:val="26"/>
        </w:rPr>
        <w:t>п</w:t>
      </w:r>
      <w:r w:rsidR="00E61009" w:rsidRPr="00E61009">
        <w:rPr>
          <w:rFonts w:ascii="Times New Roman" w:hAnsi="Times New Roman"/>
          <w:sz w:val="26"/>
          <w:szCs w:val="26"/>
        </w:rPr>
        <w:t>редельный объем расходов на обслуживание государственного долга на 2020 год установлен статьей 15 законопроекта в размере 577 371,1 тыс. рублей и не превышает ограничений, установленных статьей 111 Бюджетного кодекса РФ и пунктом 1 статьи 50 Закона о бюджетном процессе.</w:t>
      </w:r>
    </w:p>
    <w:p w:rsidR="00AC0370" w:rsidRPr="00E044B0" w:rsidRDefault="00E61009" w:rsidP="00E61009">
      <w:pPr>
        <w:spacing w:after="0" w:line="240" w:lineRule="auto"/>
        <w:ind w:firstLine="709"/>
        <w:jc w:val="both"/>
        <w:rPr>
          <w:rFonts w:ascii="Times New Roman" w:hAnsi="Times New Roman"/>
          <w:sz w:val="26"/>
          <w:szCs w:val="26"/>
          <w:highlight w:val="yellow"/>
        </w:rPr>
      </w:pPr>
      <w:r w:rsidRPr="00E61009">
        <w:rPr>
          <w:rFonts w:ascii="Times New Roman" w:hAnsi="Times New Roman"/>
          <w:sz w:val="26"/>
          <w:szCs w:val="26"/>
        </w:rPr>
        <w:t>Расходы на обслуживание государственного долга, предусмотренные на 2020 год в сравнении с ожидаемыми расходами за 2019 год (641 389,7 тыс. рублей) уменьшатся на 64 018,6 тыс. рублей</w:t>
      </w:r>
      <w:r w:rsidR="00810FDF">
        <w:rPr>
          <w:rFonts w:ascii="Times New Roman" w:hAnsi="Times New Roman"/>
          <w:sz w:val="26"/>
          <w:szCs w:val="26"/>
        </w:rPr>
        <w:t>,</w:t>
      </w:r>
      <w:r w:rsidRPr="00E61009">
        <w:rPr>
          <w:rFonts w:ascii="Times New Roman" w:hAnsi="Times New Roman"/>
          <w:sz w:val="26"/>
          <w:szCs w:val="26"/>
        </w:rPr>
        <w:t xml:space="preserve"> или на 10,0 процентов</w:t>
      </w:r>
      <w:r w:rsidR="00810FDF">
        <w:rPr>
          <w:rFonts w:ascii="Times New Roman" w:hAnsi="Times New Roman"/>
          <w:sz w:val="26"/>
          <w:szCs w:val="26"/>
        </w:rPr>
        <w:t>;</w:t>
      </w:r>
    </w:p>
    <w:p w:rsidR="00AC0370" w:rsidRPr="00E61009" w:rsidRDefault="00AC0370" w:rsidP="006244EB">
      <w:pPr>
        <w:spacing w:after="0" w:line="240" w:lineRule="auto"/>
        <w:ind w:firstLine="709"/>
        <w:jc w:val="both"/>
        <w:rPr>
          <w:rFonts w:ascii="Times New Roman" w:hAnsi="Times New Roman"/>
          <w:sz w:val="26"/>
          <w:szCs w:val="26"/>
        </w:rPr>
      </w:pPr>
      <w:r w:rsidRPr="00E61009">
        <w:rPr>
          <w:rFonts w:ascii="Times New Roman" w:hAnsi="Times New Roman"/>
          <w:sz w:val="26"/>
          <w:szCs w:val="26"/>
        </w:rPr>
        <w:sym w:font="Symbol" w:char="F0B7"/>
      </w:r>
      <w:r w:rsidRPr="00E61009">
        <w:rPr>
          <w:rFonts w:ascii="Times New Roman" w:hAnsi="Times New Roman"/>
          <w:sz w:val="26"/>
          <w:szCs w:val="26"/>
        </w:rPr>
        <w:t xml:space="preserve"> </w:t>
      </w:r>
      <w:r w:rsidR="00810FDF">
        <w:rPr>
          <w:rFonts w:ascii="Times New Roman" w:hAnsi="Times New Roman"/>
          <w:sz w:val="26"/>
          <w:szCs w:val="26"/>
        </w:rPr>
        <w:t>з</w:t>
      </w:r>
      <w:r w:rsidR="00E61009" w:rsidRPr="00E61009">
        <w:rPr>
          <w:rFonts w:ascii="Times New Roman" w:hAnsi="Times New Roman"/>
          <w:sz w:val="26"/>
          <w:szCs w:val="26"/>
        </w:rPr>
        <w:t xml:space="preserve">аконопроектом на 2020 финансовый год предусматривается общий объем расходов областного бюджета в размере 76 964 976,1 тыс. рублей, что на 4 017 063,7 </w:t>
      </w:r>
      <w:r w:rsidR="00E61009" w:rsidRPr="00E61009">
        <w:rPr>
          <w:rFonts w:ascii="Times New Roman" w:hAnsi="Times New Roman"/>
          <w:sz w:val="26"/>
          <w:szCs w:val="26"/>
        </w:rPr>
        <w:lastRenderedPageBreak/>
        <w:t>тыс. рублей, или на 5,5 % выше объема расходов, утвержденного Законом о бюджете на 2019 год</w:t>
      </w:r>
      <w:r w:rsidRPr="00E61009">
        <w:rPr>
          <w:rFonts w:ascii="Times New Roman" w:hAnsi="Times New Roman"/>
          <w:sz w:val="26"/>
          <w:szCs w:val="26"/>
        </w:rPr>
        <w:t>;</w:t>
      </w:r>
    </w:p>
    <w:p w:rsidR="00203059" w:rsidRDefault="00AC0370" w:rsidP="006244EB">
      <w:pPr>
        <w:spacing w:after="0" w:line="240" w:lineRule="auto"/>
        <w:ind w:firstLine="709"/>
        <w:jc w:val="both"/>
        <w:rPr>
          <w:rFonts w:ascii="Times New Roman" w:hAnsi="Times New Roman"/>
          <w:sz w:val="26"/>
          <w:szCs w:val="26"/>
        </w:rPr>
      </w:pPr>
      <w:r w:rsidRPr="00E61009">
        <w:rPr>
          <w:rFonts w:ascii="Times New Roman" w:hAnsi="Times New Roman"/>
          <w:sz w:val="26"/>
          <w:szCs w:val="26"/>
        </w:rPr>
        <w:sym w:font="Symbol" w:char="F0B7"/>
      </w:r>
      <w:r w:rsidRPr="00E61009">
        <w:rPr>
          <w:rFonts w:ascii="Times New Roman" w:hAnsi="Times New Roman"/>
          <w:sz w:val="26"/>
          <w:szCs w:val="26"/>
        </w:rPr>
        <w:t xml:space="preserve"> </w:t>
      </w:r>
      <w:r w:rsidR="00810FDF">
        <w:rPr>
          <w:rFonts w:ascii="Times New Roman" w:hAnsi="Times New Roman"/>
          <w:sz w:val="26"/>
          <w:szCs w:val="26"/>
        </w:rPr>
        <w:t>в</w:t>
      </w:r>
      <w:r w:rsidR="00E61009" w:rsidRPr="00E61009">
        <w:rPr>
          <w:rFonts w:ascii="Times New Roman" w:hAnsi="Times New Roman"/>
          <w:sz w:val="26"/>
          <w:szCs w:val="26"/>
        </w:rPr>
        <w:t xml:space="preserve"> бюджете 2020 года </w:t>
      </w:r>
      <w:r w:rsidR="00E61009">
        <w:rPr>
          <w:rFonts w:ascii="Times New Roman" w:hAnsi="Times New Roman"/>
          <w:sz w:val="26"/>
          <w:szCs w:val="26"/>
        </w:rPr>
        <w:t xml:space="preserve">не отмечено </w:t>
      </w:r>
      <w:r w:rsidR="00E61009" w:rsidRPr="00E61009">
        <w:rPr>
          <w:rFonts w:ascii="Times New Roman" w:hAnsi="Times New Roman"/>
          <w:sz w:val="26"/>
          <w:szCs w:val="26"/>
        </w:rPr>
        <w:t>существенного изменения структуры расходов бюджета по разделам классификации расходов бюджетов. Из 14 разделов классификации расходов бюджетов увеличение бюджетных ассигнований предусматривается по 6 разделам, уменьшение – по 8 разделам, наибольшую долю в общем объеме расходов областного бюджета, как и в отчетном 2019 году, составляют расходы по разделам: 0700 «Образование» – 24,0 % (в 2019 году – 22,3 %); 1000 «Социальная политика» – 30,6 % (в 2019 году – 29,4 %)</w:t>
      </w:r>
      <w:r w:rsidR="00810FDF">
        <w:rPr>
          <w:rFonts w:ascii="Times New Roman" w:hAnsi="Times New Roman"/>
          <w:sz w:val="26"/>
          <w:szCs w:val="26"/>
        </w:rPr>
        <w:t>;</w:t>
      </w:r>
    </w:p>
    <w:p w:rsidR="00D34671" w:rsidRPr="00D34671" w:rsidRDefault="00D34671" w:rsidP="00D34671">
      <w:pPr>
        <w:spacing w:after="0" w:line="240" w:lineRule="auto"/>
        <w:ind w:firstLine="709"/>
        <w:jc w:val="both"/>
        <w:rPr>
          <w:rFonts w:ascii="Times New Roman" w:hAnsi="Times New Roman"/>
          <w:sz w:val="26"/>
          <w:szCs w:val="26"/>
        </w:rPr>
      </w:pPr>
      <w:r w:rsidRPr="00D34671">
        <w:rPr>
          <w:rFonts w:ascii="Times New Roman" w:hAnsi="Times New Roman"/>
          <w:sz w:val="26"/>
          <w:szCs w:val="26"/>
        </w:rPr>
        <w:sym w:font="Symbol" w:char="F0B7"/>
      </w:r>
      <w:r w:rsidRPr="00D34671">
        <w:rPr>
          <w:rFonts w:ascii="Times New Roman" w:hAnsi="Times New Roman"/>
          <w:sz w:val="26"/>
          <w:szCs w:val="26"/>
        </w:rPr>
        <w:t xml:space="preserve"> согласно законопроекту </w:t>
      </w:r>
      <w:proofErr w:type="gramStart"/>
      <w:r w:rsidRPr="00D34671">
        <w:rPr>
          <w:rFonts w:ascii="Times New Roman" w:hAnsi="Times New Roman"/>
          <w:sz w:val="26"/>
          <w:szCs w:val="26"/>
        </w:rPr>
        <w:t>в 2020 году</w:t>
      </w:r>
      <w:proofErr w:type="gramEnd"/>
      <w:r w:rsidRPr="00D34671">
        <w:rPr>
          <w:rFonts w:ascii="Times New Roman" w:hAnsi="Times New Roman"/>
          <w:sz w:val="26"/>
          <w:szCs w:val="26"/>
        </w:rPr>
        <w:t xml:space="preserve"> объем межбюджетных трансфертов из областного бюджета, составит 26 607 299,3 тыс. рублей, что на 2 628 775,0 тыс. рублей, или на 11 % больше законодательно утвержденных бюджетных назначений 2019 года (23 978 524,2 тыс. рублей).</w:t>
      </w:r>
      <w:r w:rsidRPr="00D34671">
        <w:t xml:space="preserve"> </w:t>
      </w:r>
      <w:r w:rsidRPr="00D34671">
        <w:rPr>
          <w:rFonts w:ascii="Times New Roman" w:hAnsi="Times New Roman"/>
          <w:sz w:val="26"/>
          <w:szCs w:val="26"/>
        </w:rPr>
        <w:t>В общем объеме межбюджетных трансфертов наибольшую долю составляют межбюджетные трансферты, предусмотренные по разделу 07 «Образование» (54,7 %) и по разделу 14 «Межбюджетные трансферты общего характера бюджетам бюджетной системы Российской Федерации» (21,6 %)</w:t>
      </w:r>
      <w:r w:rsidR="00B265C2">
        <w:rPr>
          <w:rFonts w:ascii="Times New Roman" w:hAnsi="Times New Roman"/>
          <w:sz w:val="26"/>
          <w:szCs w:val="26"/>
        </w:rPr>
        <w:t>;</w:t>
      </w:r>
    </w:p>
    <w:p w:rsidR="00223BB2" w:rsidRPr="00223BB2" w:rsidRDefault="00223BB2" w:rsidP="00223BB2">
      <w:pPr>
        <w:spacing w:after="0" w:line="240" w:lineRule="auto"/>
        <w:ind w:firstLine="709"/>
        <w:jc w:val="both"/>
        <w:rPr>
          <w:rFonts w:ascii="Times New Roman" w:hAnsi="Times New Roman"/>
          <w:sz w:val="26"/>
          <w:szCs w:val="26"/>
        </w:rPr>
      </w:pPr>
      <w:r w:rsidRPr="00E61009">
        <w:rPr>
          <w:rFonts w:ascii="Times New Roman" w:hAnsi="Times New Roman"/>
          <w:sz w:val="26"/>
          <w:szCs w:val="26"/>
        </w:rPr>
        <w:sym w:font="Symbol" w:char="F0B7"/>
      </w:r>
      <w:r>
        <w:rPr>
          <w:rFonts w:ascii="Times New Roman" w:hAnsi="Times New Roman"/>
          <w:sz w:val="26"/>
          <w:szCs w:val="26"/>
        </w:rPr>
        <w:t xml:space="preserve"> </w:t>
      </w:r>
      <w:r w:rsidRPr="00223BB2">
        <w:rPr>
          <w:rFonts w:ascii="Times New Roman" w:hAnsi="Times New Roman"/>
          <w:sz w:val="26"/>
          <w:szCs w:val="26"/>
        </w:rPr>
        <w:t>законопроектом на 2020 год предусматриваются бюджетные ассигнования на компенсацию недополученных доходов ресурсоснабжающим организациям на общую сумму 2 968 771,8 тыс. рублей, что меньше объема бюджетных ассигнований на 2019 год на 7 553 145,1 тыс. рублей, или на 71,7 %. По оценке Счетной палаты в течение 2020 года потребность в увеличении расходов областного бюджета на компенсацию недополученных доходов ресурсоснабжающим организациям составит не менее 4 500,0 млн. рублей (без учета тарифных решений, которые будут приняты в декабре 2019 года, а также изменения стоимости топлива);</w:t>
      </w:r>
    </w:p>
    <w:p w:rsidR="007C0E4E" w:rsidRDefault="00223BB2" w:rsidP="00D34671">
      <w:pPr>
        <w:spacing w:after="0" w:line="240" w:lineRule="auto"/>
        <w:ind w:firstLine="709"/>
        <w:jc w:val="both"/>
        <w:rPr>
          <w:rFonts w:ascii="Times New Roman" w:hAnsi="Times New Roman"/>
          <w:sz w:val="26"/>
          <w:szCs w:val="26"/>
        </w:rPr>
      </w:pPr>
      <w:r w:rsidRPr="00E61009">
        <w:rPr>
          <w:rFonts w:ascii="Times New Roman" w:hAnsi="Times New Roman"/>
          <w:sz w:val="26"/>
          <w:szCs w:val="26"/>
        </w:rPr>
        <w:sym w:font="Symbol" w:char="F0B7"/>
      </w:r>
      <w:r>
        <w:rPr>
          <w:rFonts w:ascii="Times New Roman" w:hAnsi="Times New Roman"/>
          <w:sz w:val="26"/>
          <w:szCs w:val="26"/>
        </w:rPr>
        <w:t xml:space="preserve"> </w:t>
      </w:r>
      <w:r w:rsidR="00D34671" w:rsidRPr="00223BB2">
        <w:rPr>
          <w:rFonts w:ascii="Times New Roman" w:hAnsi="Times New Roman"/>
          <w:sz w:val="26"/>
          <w:szCs w:val="26"/>
        </w:rPr>
        <w:t>финансово-экономическое обоснование регионального размера расходов на питание (на 2020 год – 121 рубль в день на 1 человека) отсутствует, цели расходования субвенции, установленные Законом Мурманской области от 26.10.2007 № 900-01-ЗМО, и правилами ее расходования (постановление Правительства Мурманской области от 07.03.2012 № 67-ПП) предусматривают расходование средств на обеспечение предоставления питания без учета различных форм организации питания в муниципальных образованиях (комбинаты школьного питания, самостоятельная организация питания школами, аутсорсинг) и без учета возрастных групп обучающихся, что не позволяет дать оценку достаточности объема финансирования расходов муниципальных образований на предоставление бесплатного питания обучающимся</w:t>
      </w:r>
      <w:r w:rsidR="007C0E4E">
        <w:rPr>
          <w:rFonts w:ascii="Times New Roman" w:hAnsi="Times New Roman"/>
          <w:sz w:val="26"/>
          <w:szCs w:val="26"/>
        </w:rPr>
        <w:t>;</w:t>
      </w:r>
    </w:p>
    <w:p w:rsidR="007C0E4E" w:rsidRPr="007C0E4E" w:rsidRDefault="007C0E4E" w:rsidP="007C0E4E">
      <w:pPr>
        <w:spacing w:after="0" w:line="240" w:lineRule="auto"/>
        <w:ind w:firstLine="709"/>
        <w:jc w:val="both"/>
        <w:rPr>
          <w:rFonts w:ascii="Times New Roman" w:hAnsi="Times New Roman"/>
          <w:sz w:val="26"/>
          <w:szCs w:val="26"/>
        </w:rPr>
      </w:pPr>
      <w:r w:rsidRPr="00E61009">
        <w:rPr>
          <w:rFonts w:ascii="Times New Roman" w:hAnsi="Times New Roman"/>
          <w:sz w:val="26"/>
          <w:szCs w:val="26"/>
        </w:rPr>
        <w:sym w:font="Symbol" w:char="F0B7"/>
      </w:r>
      <w:r>
        <w:rPr>
          <w:rFonts w:ascii="Times New Roman" w:hAnsi="Times New Roman"/>
          <w:sz w:val="26"/>
          <w:szCs w:val="26"/>
        </w:rPr>
        <w:t xml:space="preserve"> </w:t>
      </w:r>
      <w:r w:rsidRPr="007C0E4E">
        <w:rPr>
          <w:rFonts w:ascii="Times New Roman" w:hAnsi="Times New Roman"/>
          <w:sz w:val="26"/>
          <w:szCs w:val="26"/>
        </w:rPr>
        <w:t>порядки (проекты порядков) определения объема и предоставления субсидий некоммерческим организациям не содержат информацию, обосновывающую размер субсидий, подлежащей утверждению законом о бюджете (формулы расчета, порядок их применения, нормативы затрат, статистические данные, иная информация исходя из целей предоставления субсидии), что не позволяет дать оценку обоснованности предлагаемых к утверждению бюджетных ассигнований на предоставление субсидий на финансовое обеспечение уставной деятельности некоммерческих организаций;</w:t>
      </w:r>
    </w:p>
    <w:p w:rsidR="007C0E4E" w:rsidRPr="007C0E4E" w:rsidRDefault="007C0E4E" w:rsidP="007C0E4E">
      <w:pPr>
        <w:spacing w:after="0" w:line="240" w:lineRule="auto"/>
        <w:ind w:firstLine="709"/>
        <w:jc w:val="both"/>
        <w:rPr>
          <w:rFonts w:ascii="Times New Roman" w:hAnsi="Times New Roman"/>
          <w:sz w:val="26"/>
          <w:szCs w:val="26"/>
        </w:rPr>
      </w:pPr>
      <w:r w:rsidRPr="00E61009">
        <w:rPr>
          <w:rFonts w:ascii="Times New Roman" w:hAnsi="Times New Roman"/>
          <w:sz w:val="26"/>
          <w:szCs w:val="26"/>
        </w:rPr>
        <w:sym w:font="Symbol" w:char="F0B7"/>
      </w:r>
      <w:r>
        <w:rPr>
          <w:rFonts w:ascii="Times New Roman" w:hAnsi="Times New Roman"/>
          <w:sz w:val="26"/>
          <w:szCs w:val="26"/>
        </w:rPr>
        <w:t xml:space="preserve"> р</w:t>
      </w:r>
      <w:r w:rsidRPr="007C0E4E">
        <w:rPr>
          <w:rFonts w:ascii="Times New Roman" w:hAnsi="Times New Roman"/>
          <w:sz w:val="26"/>
          <w:szCs w:val="26"/>
        </w:rPr>
        <w:t xml:space="preserve">ешение вопросов местного значения в сфере благоустройства, которые являются расходными обязательствами муниципальных образований Мурманской области, не подлежит осуществлению за счет средств областного бюджета в форме субсидии, планируемой к предоставлению в законопроекте на общую сумму 451 113,5 тыс. рублей в виде имущественного взноса на финансовое обеспечение деятельности </w:t>
      </w:r>
      <w:r w:rsidRPr="007C0E4E">
        <w:rPr>
          <w:rFonts w:ascii="Times New Roman" w:hAnsi="Times New Roman"/>
          <w:sz w:val="26"/>
          <w:szCs w:val="26"/>
        </w:rPr>
        <w:lastRenderedPageBreak/>
        <w:t>автономной некоммерческой организации «Центр городского развития Мурманской области»;</w:t>
      </w:r>
    </w:p>
    <w:p w:rsidR="007C0E4E" w:rsidRPr="007C0E4E" w:rsidRDefault="007C0E4E" w:rsidP="007C0E4E">
      <w:pPr>
        <w:spacing w:after="0" w:line="240" w:lineRule="auto"/>
        <w:ind w:firstLine="709"/>
        <w:jc w:val="both"/>
        <w:rPr>
          <w:rFonts w:ascii="Times New Roman" w:hAnsi="Times New Roman"/>
          <w:sz w:val="26"/>
          <w:szCs w:val="26"/>
        </w:rPr>
      </w:pPr>
      <w:r w:rsidRPr="00E61009">
        <w:rPr>
          <w:rFonts w:ascii="Times New Roman" w:hAnsi="Times New Roman"/>
          <w:sz w:val="26"/>
          <w:szCs w:val="26"/>
        </w:rPr>
        <w:sym w:font="Symbol" w:char="F0B7"/>
      </w:r>
      <w:r>
        <w:rPr>
          <w:rFonts w:ascii="Times New Roman" w:hAnsi="Times New Roman"/>
          <w:sz w:val="26"/>
          <w:szCs w:val="26"/>
        </w:rPr>
        <w:t xml:space="preserve"> п</w:t>
      </w:r>
      <w:r w:rsidRPr="007C0E4E">
        <w:rPr>
          <w:rFonts w:ascii="Times New Roman" w:hAnsi="Times New Roman"/>
          <w:sz w:val="26"/>
          <w:szCs w:val="26"/>
        </w:rPr>
        <w:t xml:space="preserve">ри формировании расходов областного бюджета на капитальные вложения в объекты государственной собственности в 2020 – 2022 годах не предусмотрены бюджетные ассигнования на реализацию ранее начатых проектов капитального строительства (реконструкцию). </w:t>
      </w:r>
    </w:p>
    <w:p w:rsidR="00B265C2" w:rsidRPr="00223BB2" w:rsidRDefault="00B265C2" w:rsidP="00B265C2">
      <w:pPr>
        <w:spacing w:after="0" w:line="240" w:lineRule="auto"/>
        <w:ind w:firstLine="709"/>
        <w:jc w:val="both"/>
        <w:rPr>
          <w:rFonts w:ascii="Times New Roman" w:hAnsi="Times New Roman"/>
          <w:sz w:val="26"/>
          <w:szCs w:val="26"/>
        </w:rPr>
      </w:pPr>
      <w:r>
        <w:rPr>
          <w:rFonts w:ascii="Times New Roman" w:hAnsi="Times New Roman"/>
          <w:sz w:val="26"/>
          <w:szCs w:val="26"/>
        </w:rPr>
        <w:t>От</w:t>
      </w:r>
      <w:r w:rsidRPr="00223BB2">
        <w:rPr>
          <w:rFonts w:ascii="Times New Roman" w:hAnsi="Times New Roman"/>
          <w:sz w:val="26"/>
          <w:szCs w:val="26"/>
        </w:rPr>
        <w:t xml:space="preserve">дельные замечания и нарушения в части предоставления межбюджетных трансфертов бюджетам муниципальных образований Мурманской области, отдельные нарушения главными распорядителями бюджетных средств порядка планирования бюджетных ассигнований, </w:t>
      </w:r>
      <w:r>
        <w:rPr>
          <w:rFonts w:ascii="Times New Roman" w:hAnsi="Times New Roman"/>
          <w:sz w:val="26"/>
          <w:szCs w:val="26"/>
        </w:rPr>
        <w:t xml:space="preserve">выявленные Счетной палатой в ходе экспертизы законопроекта, </w:t>
      </w:r>
      <w:r w:rsidRPr="00223BB2">
        <w:rPr>
          <w:rFonts w:ascii="Times New Roman" w:hAnsi="Times New Roman"/>
          <w:sz w:val="26"/>
          <w:szCs w:val="26"/>
        </w:rPr>
        <w:t>устранены в процессе принятия областного бюджета.</w:t>
      </w:r>
    </w:p>
    <w:p w:rsidR="00D34671" w:rsidRPr="00B93F92" w:rsidRDefault="00D34671" w:rsidP="006244EB">
      <w:pPr>
        <w:spacing w:after="0" w:line="240" w:lineRule="auto"/>
        <w:ind w:firstLine="709"/>
        <w:jc w:val="both"/>
        <w:rPr>
          <w:rFonts w:ascii="Times New Roman" w:hAnsi="Times New Roman"/>
          <w:sz w:val="16"/>
          <w:szCs w:val="16"/>
        </w:rPr>
      </w:pPr>
    </w:p>
    <w:p w:rsidR="00FF60FB" w:rsidRPr="006244EB" w:rsidRDefault="00FF60FB" w:rsidP="006244EB">
      <w:pPr>
        <w:spacing w:after="0" w:line="240" w:lineRule="auto"/>
        <w:ind w:firstLine="709"/>
        <w:jc w:val="both"/>
        <w:rPr>
          <w:rFonts w:ascii="Times New Roman" w:eastAsia="Calibri" w:hAnsi="Times New Roman"/>
          <w:sz w:val="26"/>
          <w:szCs w:val="26"/>
          <w:lang w:eastAsia="en-US"/>
        </w:rPr>
      </w:pPr>
      <w:r w:rsidRPr="006244EB">
        <w:rPr>
          <w:rFonts w:ascii="Times New Roman" w:hAnsi="Times New Roman"/>
          <w:b/>
          <w:sz w:val="26"/>
          <w:szCs w:val="26"/>
        </w:rPr>
        <w:t xml:space="preserve">1.2. В заключениях на проекты законов </w:t>
      </w:r>
      <w:r w:rsidRPr="006244EB">
        <w:rPr>
          <w:rFonts w:ascii="Times New Roman" w:eastAsia="Calibri" w:hAnsi="Times New Roman"/>
          <w:b/>
          <w:sz w:val="26"/>
          <w:szCs w:val="26"/>
          <w:lang w:eastAsia="en-US"/>
        </w:rPr>
        <w:t>Мурманской области «О внесении изменений в Закон Мурманской области «Об областном бюджете на 201</w:t>
      </w:r>
      <w:r w:rsidR="00E044B0">
        <w:rPr>
          <w:rFonts w:ascii="Times New Roman" w:eastAsia="Calibri" w:hAnsi="Times New Roman"/>
          <w:b/>
          <w:sz w:val="26"/>
          <w:szCs w:val="26"/>
          <w:lang w:eastAsia="en-US"/>
        </w:rPr>
        <w:t>9</w:t>
      </w:r>
      <w:r w:rsidRPr="006244EB">
        <w:rPr>
          <w:rFonts w:ascii="Times New Roman" w:eastAsia="Calibri" w:hAnsi="Times New Roman"/>
          <w:b/>
          <w:sz w:val="26"/>
          <w:szCs w:val="26"/>
          <w:lang w:eastAsia="en-US"/>
        </w:rPr>
        <w:t xml:space="preserve"> год и на плановый период 20</w:t>
      </w:r>
      <w:r w:rsidR="00E044B0">
        <w:rPr>
          <w:rFonts w:ascii="Times New Roman" w:eastAsia="Calibri" w:hAnsi="Times New Roman"/>
          <w:b/>
          <w:sz w:val="26"/>
          <w:szCs w:val="26"/>
          <w:lang w:eastAsia="en-US"/>
        </w:rPr>
        <w:t>20</w:t>
      </w:r>
      <w:r w:rsidRPr="006244EB">
        <w:rPr>
          <w:rFonts w:ascii="Times New Roman" w:eastAsia="Calibri" w:hAnsi="Times New Roman"/>
          <w:b/>
          <w:sz w:val="26"/>
          <w:szCs w:val="26"/>
          <w:lang w:eastAsia="en-US"/>
        </w:rPr>
        <w:t xml:space="preserve"> и 202</w:t>
      </w:r>
      <w:r w:rsidR="00E044B0">
        <w:rPr>
          <w:rFonts w:ascii="Times New Roman" w:eastAsia="Calibri" w:hAnsi="Times New Roman"/>
          <w:b/>
          <w:sz w:val="26"/>
          <w:szCs w:val="26"/>
          <w:lang w:eastAsia="en-US"/>
        </w:rPr>
        <w:t>1</w:t>
      </w:r>
      <w:r w:rsidRPr="006244EB">
        <w:rPr>
          <w:rFonts w:ascii="Times New Roman" w:eastAsia="Calibri" w:hAnsi="Times New Roman"/>
          <w:b/>
          <w:sz w:val="26"/>
          <w:szCs w:val="26"/>
          <w:lang w:eastAsia="en-US"/>
        </w:rPr>
        <w:t xml:space="preserve"> годов»</w:t>
      </w:r>
      <w:r w:rsidRPr="006244EB">
        <w:rPr>
          <w:sz w:val="26"/>
          <w:szCs w:val="26"/>
        </w:rPr>
        <w:t xml:space="preserve"> </w:t>
      </w:r>
      <w:r w:rsidRPr="006244EB">
        <w:rPr>
          <w:rFonts w:ascii="Times New Roman" w:eastAsia="Calibri" w:hAnsi="Times New Roman"/>
          <w:sz w:val="26"/>
          <w:szCs w:val="26"/>
          <w:lang w:eastAsia="en-US"/>
        </w:rPr>
        <w:t>отмечено следующее:</w:t>
      </w:r>
    </w:p>
    <w:p w:rsidR="00FF60FB" w:rsidRPr="00D57417" w:rsidRDefault="00FF60FB" w:rsidP="006244EB">
      <w:pPr>
        <w:spacing w:after="0" w:line="240" w:lineRule="auto"/>
        <w:ind w:firstLine="709"/>
        <w:jc w:val="both"/>
        <w:rPr>
          <w:rFonts w:ascii="Times New Roman" w:hAnsi="Times New Roman"/>
          <w:sz w:val="26"/>
          <w:szCs w:val="26"/>
        </w:rPr>
      </w:pPr>
      <w:r w:rsidRPr="00D57417">
        <w:rPr>
          <w:rFonts w:ascii="Times New Roman" w:hAnsi="Times New Roman"/>
          <w:sz w:val="26"/>
          <w:szCs w:val="26"/>
        </w:rPr>
        <w:sym w:font="Symbol" w:char="F0B7"/>
      </w:r>
      <w:r w:rsidRPr="00D57417">
        <w:rPr>
          <w:rFonts w:ascii="Times New Roman" w:hAnsi="Times New Roman"/>
          <w:sz w:val="26"/>
          <w:szCs w:val="26"/>
        </w:rPr>
        <w:t xml:space="preserve"> размер дефицита областного бюджета, предусмотренный законопроектами на 2018 год, не превышал ограничения, установленного статьей 92.1 Бюджетного кодекса РФ;</w:t>
      </w:r>
    </w:p>
    <w:p w:rsidR="00D57417" w:rsidRPr="00824B1F" w:rsidRDefault="00FF60FB" w:rsidP="00D57417">
      <w:pPr>
        <w:spacing w:after="0" w:line="240" w:lineRule="auto"/>
        <w:ind w:firstLine="709"/>
        <w:jc w:val="both"/>
        <w:rPr>
          <w:rFonts w:ascii="Times New Roman" w:hAnsi="Times New Roman"/>
          <w:sz w:val="26"/>
          <w:szCs w:val="26"/>
        </w:rPr>
      </w:pPr>
      <w:r w:rsidRPr="00824B1F">
        <w:rPr>
          <w:rFonts w:ascii="Times New Roman" w:hAnsi="Times New Roman"/>
          <w:sz w:val="26"/>
          <w:szCs w:val="26"/>
        </w:rPr>
        <w:sym w:font="Symbol" w:char="F0B7"/>
      </w:r>
      <w:r w:rsidRPr="00824B1F">
        <w:rPr>
          <w:rFonts w:ascii="Times New Roman" w:hAnsi="Times New Roman"/>
          <w:sz w:val="26"/>
          <w:szCs w:val="26"/>
        </w:rPr>
        <w:t xml:space="preserve"> </w:t>
      </w:r>
      <w:r w:rsidR="00B31F98">
        <w:rPr>
          <w:rFonts w:ascii="Times New Roman" w:hAnsi="Times New Roman"/>
          <w:sz w:val="26"/>
          <w:szCs w:val="26"/>
        </w:rPr>
        <w:t>у</w:t>
      </w:r>
      <w:r w:rsidR="00D57417" w:rsidRPr="00824B1F">
        <w:rPr>
          <w:rFonts w:ascii="Times New Roman" w:hAnsi="Times New Roman"/>
          <w:sz w:val="26"/>
          <w:szCs w:val="26"/>
        </w:rPr>
        <w:t>становленные законопроектом предельные объемы государственного долга Мурманской области на плановый период (2020 и 2021 годы) находятся в допустимых пределах, определенных статьей 107 Бюджетного кодекса РФ и пунктом 1 статьи 50 Закона о бюджетном процессе. Однако их объемы приблизятся к экономически небезопасному уровню (100 %).</w:t>
      </w:r>
    </w:p>
    <w:p w:rsidR="00D57417" w:rsidRPr="00824B1F" w:rsidRDefault="00D57417" w:rsidP="00D57417">
      <w:pPr>
        <w:spacing w:after="0" w:line="240" w:lineRule="auto"/>
        <w:ind w:firstLine="709"/>
        <w:jc w:val="both"/>
        <w:rPr>
          <w:rFonts w:ascii="Times New Roman" w:hAnsi="Times New Roman"/>
          <w:sz w:val="26"/>
          <w:szCs w:val="26"/>
        </w:rPr>
      </w:pPr>
      <w:r w:rsidRPr="00824B1F">
        <w:rPr>
          <w:rFonts w:ascii="Times New Roman" w:hAnsi="Times New Roman"/>
          <w:sz w:val="26"/>
          <w:szCs w:val="26"/>
        </w:rPr>
        <w:t>Программы государственных внутренних заимствований Мурманской области на 2019 год и на плановый период сформированы в соответствии с требованиями статей 93.6, 106 и 110.1 Бюджетного кодекса РФ.</w:t>
      </w:r>
    </w:p>
    <w:p w:rsidR="00FF60FB" w:rsidRPr="00824B1F" w:rsidRDefault="00D57417" w:rsidP="00D57417">
      <w:pPr>
        <w:spacing w:after="0" w:line="240" w:lineRule="auto"/>
        <w:ind w:firstLine="709"/>
        <w:jc w:val="both"/>
        <w:rPr>
          <w:rFonts w:ascii="Times New Roman" w:hAnsi="Times New Roman"/>
          <w:sz w:val="26"/>
          <w:szCs w:val="26"/>
        </w:rPr>
      </w:pPr>
      <w:r w:rsidRPr="00824B1F">
        <w:rPr>
          <w:rFonts w:ascii="Times New Roman" w:hAnsi="Times New Roman"/>
          <w:sz w:val="26"/>
          <w:szCs w:val="26"/>
        </w:rPr>
        <w:t>Предельный объем расходов на обслуживание государственного долга на 2019 год установлен пунктом 6 статьи 1 законопроекта в размере 542 509,7 тыс. рублей (уменьшен на 98 880,0 тыс. рублей) и не превышает ограничений, установленных статьей 111 Бюджетного кодекса РФ и пунктом 1 статьи 50 Закона о бюджетном процессе</w:t>
      </w:r>
      <w:r w:rsidR="00FF60FB" w:rsidRPr="00824B1F">
        <w:rPr>
          <w:rFonts w:ascii="Times New Roman" w:hAnsi="Times New Roman"/>
          <w:sz w:val="26"/>
          <w:szCs w:val="26"/>
        </w:rPr>
        <w:t>;</w:t>
      </w:r>
    </w:p>
    <w:p w:rsidR="00FF60FB" w:rsidRPr="00824B1F" w:rsidRDefault="00FF60FB" w:rsidP="006244EB">
      <w:pPr>
        <w:pStyle w:val="60"/>
        <w:spacing w:before="0"/>
        <w:rPr>
          <w:szCs w:val="26"/>
        </w:rPr>
      </w:pPr>
      <w:r w:rsidRPr="00824B1F">
        <w:rPr>
          <w:szCs w:val="26"/>
        </w:rPr>
        <w:sym w:font="Symbol" w:char="F0B7"/>
      </w:r>
      <w:r w:rsidRPr="00824B1F">
        <w:rPr>
          <w:szCs w:val="26"/>
        </w:rPr>
        <w:t xml:space="preserve"> </w:t>
      </w:r>
      <w:r w:rsidR="00B31F98">
        <w:rPr>
          <w:szCs w:val="26"/>
        </w:rPr>
        <w:t>и</w:t>
      </w:r>
      <w:r w:rsidR="00824B1F" w:rsidRPr="00824B1F">
        <w:rPr>
          <w:szCs w:val="26"/>
        </w:rPr>
        <w:t>зменения, предлагаемые законопроектами, согласуются с принципом полноты отражения доходов, расходов и источников финансирования бюджета, установленным в статье 32 Бюджетного кодекса РФ</w:t>
      </w:r>
      <w:r w:rsidRPr="00824B1F">
        <w:rPr>
          <w:szCs w:val="26"/>
        </w:rPr>
        <w:t>;</w:t>
      </w:r>
    </w:p>
    <w:p w:rsidR="00FF60FB" w:rsidRPr="00D51CA3" w:rsidRDefault="00FF60FB" w:rsidP="006244EB">
      <w:pPr>
        <w:spacing w:after="0" w:line="240" w:lineRule="auto"/>
        <w:ind w:firstLine="709"/>
        <w:jc w:val="both"/>
        <w:rPr>
          <w:rFonts w:ascii="Times New Roman" w:hAnsi="Times New Roman"/>
          <w:sz w:val="26"/>
          <w:szCs w:val="26"/>
        </w:rPr>
      </w:pPr>
      <w:r w:rsidRPr="00824B1F">
        <w:rPr>
          <w:rFonts w:ascii="Times New Roman" w:hAnsi="Times New Roman"/>
          <w:sz w:val="26"/>
          <w:szCs w:val="26"/>
        </w:rPr>
        <w:sym w:font="Symbol" w:char="F0B7"/>
      </w:r>
      <w:r w:rsidRPr="00824B1F">
        <w:rPr>
          <w:rFonts w:ascii="Times New Roman" w:hAnsi="Times New Roman"/>
          <w:sz w:val="26"/>
          <w:szCs w:val="26"/>
        </w:rPr>
        <w:t xml:space="preserve"> </w:t>
      </w:r>
      <w:r w:rsidR="00AE2888" w:rsidRPr="00824B1F">
        <w:rPr>
          <w:rFonts w:ascii="Times New Roman" w:hAnsi="Times New Roman"/>
          <w:sz w:val="26"/>
          <w:szCs w:val="26"/>
        </w:rPr>
        <w:t>в части предоставления межбюджетных трансфертов</w:t>
      </w:r>
      <w:r w:rsidR="00AE2888" w:rsidRPr="00AE2888">
        <w:rPr>
          <w:rFonts w:ascii="Times New Roman" w:hAnsi="Times New Roman"/>
          <w:sz w:val="26"/>
          <w:szCs w:val="26"/>
        </w:rPr>
        <w:t xml:space="preserve"> дана оценка объемов распределения муниципальным образованиям дотаций, объемов нераспределенных межбюджетных трансфертов, обоснованного перераспределения межбюджетных субсидий, ранее предоставленных Законом о бюджете и распределения вновь </w:t>
      </w:r>
      <w:r w:rsidR="00AE2888" w:rsidRPr="00D51CA3">
        <w:rPr>
          <w:rFonts w:ascii="Times New Roman" w:hAnsi="Times New Roman"/>
          <w:sz w:val="26"/>
          <w:szCs w:val="26"/>
        </w:rPr>
        <w:t>предоставляемых субсидий.</w:t>
      </w:r>
    </w:p>
    <w:p w:rsidR="009E296D" w:rsidRPr="00D51CA3" w:rsidRDefault="009E296D" w:rsidP="006244EB">
      <w:pPr>
        <w:spacing w:after="0" w:line="240" w:lineRule="auto"/>
        <w:ind w:firstLine="709"/>
        <w:jc w:val="both"/>
        <w:rPr>
          <w:rFonts w:ascii="Times New Roman" w:hAnsi="Times New Roman"/>
          <w:sz w:val="16"/>
          <w:szCs w:val="16"/>
        </w:rPr>
      </w:pPr>
    </w:p>
    <w:p w:rsidR="00136CC4" w:rsidRPr="00D51CA3" w:rsidRDefault="00FF60FB" w:rsidP="006244EB">
      <w:pPr>
        <w:spacing w:after="0" w:line="240" w:lineRule="auto"/>
        <w:ind w:firstLine="709"/>
        <w:jc w:val="both"/>
        <w:rPr>
          <w:rFonts w:ascii="Times New Roman" w:hAnsi="Times New Roman"/>
          <w:b/>
          <w:sz w:val="26"/>
          <w:szCs w:val="26"/>
        </w:rPr>
      </w:pPr>
      <w:r w:rsidRPr="00D51CA3">
        <w:rPr>
          <w:rFonts w:ascii="Times New Roman" w:hAnsi="Times New Roman"/>
          <w:b/>
          <w:sz w:val="26"/>
          <w:szCs w:val="26"/>
        </w:rPr>
        <w:t>1.3</w:t>
      </w:r>
      <w:r w:rsidR="00136CC4" w:rsidRPr="00D51CA3">
        <w:rPr>
          <w:rFonts w:ascii="Times New Roman" w:hAnsi="Times New Roman"/>
          <w:b/>
          <w:sz w:val="26"/>
          <w:szCs w:val="26"/>
        </w:rPr>
        <w:t xml:space="preserve">. </w:t>
      </w:r>
      <w:r w:rsidR="00136CC4" w:rsidRPr="00D51CA3">
        <w:rPr>
          <w:rFonts w:ascii="Times New Roman" w:hAnsi="Times New Roman"/>
          <w:sz w:val="26"/>
          <w:szCs w:val="26"/>
        </w:rPr>
        <w:t>В результате проведенной</w:t>
      </w:r>
      <w:r w:rsidR="00136CC4" w:rsidRPr="00D51CA3">
        <w:rPr>
          <w:rFonts w:ascii="Times New Roman" w:hAnsi="Times New Roman"/>
          <w:b/>
          <w:sz w:val="26"/>
          <w:szCs w:val="26"/>
        </w:rPr>
        <w:t xml:space="preserve"> экспертизы проекта закона «О бюджете Территориального фонда обязательного медицинского страхования Мурманской области на 20</w:t>
      </w:r>
      <w:r w:rsidR="00E044B0" w:rsidRPr="00D51CA3">
        <w:rPr>
          <w:rFonts w:ascii="Times New Roman" w:hAnsi="Times New Roman"/>
          <w:b/>
          <w:sz w:val="26"/>
          <w:szCs w:val="26"/>
        </w:rPr>
        <w:t>20</w:t>
      </w:r>
      <w:r w:rsidR="00136CC4" w:rsidRPr="00D51CA3">
        <w:rPr>
          <w:rFonts w:ascii="Times New Roman" w:hAnsi="Times New Roman"/>
          <w:b/>
          <w:sz w:val="26"/>
          <w:szCs w:val="26"/>
        </w:rPr>
        <w:t xml:space="preserve"> год и на плановый период 20</w:t>
      </w:r>
      <w:r w:rsidR="00E044B0" w:rsidRPr="00D51CA3">
        <w:rPr>
          <w:rFonts w:ascii="Times New Roman" w:hAnsi="Times New Roman"/>
          <w:b/>
          <w:sz w:val="26"/>
          <w:szCs w:val="26"/>
        </w:rPr>
        <w:t>21</w:t>
      </w:r>
      <w:r w:rsidR="00136CC4" w:rsidRPr="00D51CA3">
        <w:rPr>
          <w:rFonts w:ascii="Times New Roman" w:hAnsi="Times New Roman"/>
          <w:b/>
          <w:sz w:val="26"/>
          <w:szCs w:val="26"/>
        </w:rPr>
        <w:t xml:space="preserve"> и 202</w:t>
      </w:r>
      <w:r w:rsidR="00E044B0" w:rsidRPr="00D51CA3">
        <w:rPr>
          <w:rFonts w:ascii="Times New Roman" w:hAnsi="Times New Roman"/>
          <w:b/>
          <w:sz w:val="26"/>
          <w:szCs w:val="26"/>
        </w:rPr>
        <w:t>2</w:t>
      </w:r>
      <w:r w:rsidR="00136CC4" w:rsidRPr="00D51CA3">
        <w:rPr>
          <w:rFonts w:ascii="Times New Roman" w:hAnsi="Times New Roman"/>
          <w:b/>
          <w:sz w:val="26"/>
          <w:szCs w:val="26"/>
        </w:rPr>
        <w:t xml:space="preserve"> годов»</w:t>
      </w:r>
      <w:r w:rsidR="00136CC4" w:rsidRPr="00D51CA3">
        <w:rPr>
          <w:sz w:val="26"/>
          <w:szCs w:val="26"/>
        </w:rPr>
        <w:t xml:space="preserve"> </w:t>
      </w:r>
      <w:r w:rsidR="00136CC4" w:rsidRPr="00D51CA3">
        <w:rPr>
          <w:rFonts w:ascii="Times New Roman" w:hAnsi="Times New Roman"/>
          <w:sz w:val="26"/>
          <w:szCs w:val="26"/>
        </w:rPr>
        <w:t>отмечено:</w:t>
      </w:r>
    </w:p>
    <w:p w:rsidR="00D51CA3" w:rsidRPr="00D51CA3" w:rsidRDefault="00074E42" w:rsidP="00D51CA3">
      <w:pPr>
        <w:spacing w:after="0" w:line="240" w:lineRule="auto"/>
        <w:ind w:firstLine="709"/>
        <w:jc w:val="both"/>
        <w:rPr>
          <w:rFonts w:ascii="Times New Roman" w:eastAsia="Calibri" w:hAnsi="Times New Roman"/>
          <w:sz w:val="26"/>
          <w:szCs w:val="26"/>
          <w:lang w:eastAsia="en-US"/>
        </w:rPr>
      </w:pPr>
      <w:r w:rsidRPr="00D51CA3">
        <w:rPr>
          <w:rFonts w:ascii="Times New Roman" w:hAnsi="Times New Roman"/>
          <w:sz w:val="26"/>
          <w:szCs w:val="26"/>
        </w:rPr>
        <w:sym w:font="Symbol" w:char="F0B7"/>
      </w:r>
      <w:r w:rsidR="00413497" w:rsidRPr="00D51CA3">
        <w:rPr>
          <w:rFonts w:ascii="Times New Roman" w:eastAsia="Calibri" w:hAnsi="Times New Roman"/>
          <w:sz w:val="26"/>
          <w:szCs w:val="26"/>
          <w:lang w:eastAsia="en-US"/>
        </w:rPr>
        <w:t xml:space="preserve"> </w:t>
      </w:r>
      <w:r w:rsidR="00D51CA3" w:rsidRPr="00D51CA3">
        <w:rPr>
          <w:rFonts w:ascii="Times New Roman" w:eastAsia="Calibri" w:hAnsi="Times New Roman"/>
          <w:sz w:val="26"/>
          <w:szCs w:val="26"/>
          <w:lang w:eastAsia="en-US"/>
        </w:rPr>
        <w:t xml:space="preserve">бюджет ТФОМС Мурманской области на 2020 год сбалансирован, предлагается к утверждению без дефицита. Доходы и расходы бюджета Фонда сформированы в соответствии с требованиями статей 146, 147 Бюджетного кодекса РФ и частей 4, 5 статьи 26 Федерального закона от 29.11.2010 № 326-ФЗ «Об обязательном </w:t>
      </w:r>
      <w:r w:rsidR="00D51CA3" w:rsidRPr="00D51CA3">
        <w:rPr>
          <w:rFonts w:ascii="Times New Roman" w:eastAsia="Calibri" w:hAnsi="Times New Roman"/>
          <w:sz w:val="26"/>
          <w:szCs w:val="26"/>
          <w:lang w:eastAsia="en-US"/>
        </w:rPr>
        <w:lastRenderedPageBreak/>
        <w:t>медицинском страховании в Российской Федерации» (далее – Федеральный закон от 29.11.2010 № 326-ФЗ).</w:t>
      </w:r>
    </w:p>
    <w:p w:rsidR="00D51CA3" w:rsidRPr="00D51CA3" w:rsidRDefault="00D51CA3" w:rsidP="00D51CA3">
      <w:pPr>
        <w:spacing w:after="0" w:line="240" w:lineRule="auto"/>
        <w:ind w:firstLine="709"/>
        <w:jc w:val="both"/>
        <w:rPr>
          <w:rFonts w:ascii="Times New Roman" w:eastAsia="Calibri" w:hAnsi="Times New Roman"/>
          <w:sz w:val="26"/>
          <w:szCs w:val="26"/>
          <w:lang w:eastAsia="en-US"/>
        </w:rPr>
      </w:pPr>
      <w:r w:rsidRPr="00D51CA3">
        <w:rPr>
          <w:rFonts w:ascii="Times New Roman" w:eastAsia="Calibri" w:hAnsi="Times New Roman"/>
          <w:sz w:val="26"/>
          <w:szCs w:val="26"/>
          <w:lang w:eastAsia="en-US"/>
        </w:rPr>
        <w:t>Объем субвенции из бюджета ФФОМС в 2020 году составит 17 479 453,9 тыс. рублей, или 95,8 % от общего объема доходов бюджета ТФОМС, что на 980 677,9 тыс. рублей больше объема субвенции 2019 года</w:t>
      </w:r>
      <w:r w:rsidR="003226BF">
        <w:rPr>
          <w:rFonts w:ascii="Times New Roman" w:eastAsia="Calibri" w:hAnsi="Times New Roman"/>
          <w:sz w:val="26"/>
          <w:szCs w:val="26"/>
          <w:lang w:eastAsia="en-US"/>
        </w:rPr>
        <w:t>;</w:t>
      </w:r>
    </w:p>
    <w:p w:rsidR="00D51CA3" w:rsidRPr="00D51CA3" w:rsidRDefault="00D51CA3" w:rsidP="00D51CA3">
      <w:pPr>
        <w:spacing w:after="0" w:line="240" w:lineRule="auto"/>
        <w:ind w:firstLine="709"/>
        <w:jc w:val="both"/>
        <w:rPr>
          <w:rFonts w:ascii="Times New Roman" w:eastAsia="Calibri" w:hAnsi="Times New Roman"/>
          <w:sz w:val="26"/>
          <w:szCs w:val="26"/>
          <w:lang w:eastAsia="en-US"/>
        </w:rPr>
      </w:pPr>
      <w:r w:rsidRPr="00D51CA3">
        <w:rPr>
          <w:rFonts w:ascii="Times New Roman" w:hAnsi="Times New Roman"/>
          <w:sz w:val="26"/>
          <w:szCs w:val="26"/>
        </w:rPr>
        <w:sym w:font="Symbol" w:char="F0B7"/>
      </w:r>
      <w:r>
        <w:rPr>
          <w:rFonts w:ascii="Times New Roman" w:hAnsi="Times New Roman"/>
          <w:sz w:val="26"/>
          <w:szCs w:val="26"/>
        </w:rPr>
        <w:t xml:space="preserve"> </w:t>
      </w:r>
      <w:r w:rsidR="003226BF">
        <w:rPr>
          <w:rFonts w:ascii="Times New Roman" w:eastAsia="Calibri" w:hAnsi="Times New Roman"/>
          <w:sz w:val="26"/>
          <w:szCs w:val="26"/>
          <w:lang w:eastAsia="en-US"/>
        </w:rPr>
        <w:t>ф</w:t>
      </w:r>
      <w:r w:rsidRPr="00D51CA3">
        <w:rPr>
          <w:rFonts w:ascii="Times New Roman" w:eastAsia="Calibri" w:hAnsi="Times New Roman"/>
          <w:sz w:val="26"/>
          <w:szCs w:val="26"/>
          <w:lang w:eastAsia="en-US"/>
        </w:rPr>
        <w:t>ормирование объема субвенции для Мурманской области на 2020 год осуществлялось с учетом коэффициента дифференциации для Мурманской области 1,861 (в 2019 году – 1,862), в условиях снижения численности застрахованных лиц (с 750 901 человек – на 01.01.2018 до 739 614 человек – на 01.01.2019) и увеличения норматива финансового обеспечения в рамках базовой программы ОМС на одного застрахованного (с 11 800,2 рублей в 2019 году до 12 699,2 рублей в 2020 году)</w:t>
      </w:r>
      <w:r w:rsidR="003226BF">
        <w:rPr>
          <w:rFonts w:ascii="Times New Roman" w:eastAsia="Calibri" w:hAnsi="Times New Roman"/>
          <w:sz w:val="26"/>
          <w:szCs w:val="26"/>
          <w:lang w:eastAsia="en-US"/>
        </w:rPr>
        <w:t>;</w:t>
      </w:r>
    </w:p>
    <w:p w:rsidR="00413497" w:rsidRDefault="00D51CA3" w:rsidP="00D51CA3">
      <w:pPr>
        <w:spacing w:after="0" w:line="240" w:lineRule="auto"/>
        <w:ind w:firstLine="709"/>
        <w:jc w:val="both"/>
        <w:rPr>
          <w:rFonts w:ascii="Times New Roman" w:hAnsi="Times New Roman"/>
          <w:sz w:val="26"/>
          <w:szCs w:val="26"/>
        </w:rPr>
      </w:pPr>
      <w:r w:rsidRPr="00D51CA3">
        <w:rPr>
          <w:rFonts w:ascii="Times New Roman" w:hAnsi="Times New Roman"/>
          <w:sz w:val="26"/>
          <w:szCs w:val="26"/>
        </w:rPr>
        <w:sym w:font="Symbol" w:char="F0B7"/>
      </w:r>
      <w:r>
        <w:rPr>
          <w:rFonts w:ascii="Times New Roman" w:hAnsi="Times New Roman"/>
          <w:sz w:val="26"/>
          <w:szCs w:val="26"/>
        </w:rPr>
        <w:t xml:space="preserve"> </w:t>
      </w:r>
      <w:r w:rsidRPr="00D51CA3">
        <w:rPr>
          <w:rFonts w:ascii="Times New Roman" w:eastAsia="Calibri" w:hAnsi="Times New Roman"/>
          <w:sz w:val="26"/>
          <w:szCs w:val="26"/>
          <w:lang w:eastAsia="en-US"/>
        </w:rPr>
        <w:t xml:space="preserve">расходы медицинских учреждений за счет средств бюджета ТФОМС составят в 2020 году 16 557 815,5 тыс. рублей, что на 947 787,9 тыс. рублей, или 5,7 % больше 2019 года (15 610 027,6 тыс. рублей). Учитывая, запланированное с 01.10.2020 повышение заработной платы персонала медицинских учреждений и приоритетность выполнения Указов Президента Российской Федерации в части увеличения оплаты труда работникам медицинских учреждений, увеличение запланированных расходов медицинских учреждений за счет средств бюджета ТФОМС на 5,7 % в основном будет направлено на повышение оплаты труда персонала и не сможет существенно повлиять на финансовое положение медицинских учреждений, в том числе имеющих просроченную кредиторскую </w:t>
      </w:r>
      <w:r w:rsidRPr="003226BF">
        <w:rPr>
          <w:rFonts w:ascii="Times New Roman" w:hAnsi="Times New Roman"/>
          <w:sz w:val="26"/>
          <w:szCs w:val="26"/>
        </w:rPr>
        <w:t>задолженность.</w:t>
      </w:r>
    </w:p>
    <w:p w:rsidR="003226BF" w:rsidRPr="003226BF" w:rsidRDefault="003226BF" w:rsidP="00D51CA3">
      <w:pPr>
        <w:spacing w:after="0" w:line="240" w:lineRule="auto"/>
        <w:ind w:firstLine="709"/>
        <w:jc w:val="both"/>
        <w:rPr>
          <w:rFonts w:ascii="Times New Roman" w:hAnsi="Times New Roman"/>
          <w:sz w:val="16"/>
          <w:szCs w:val="16"/>
        </w:rPr>
      </w:pPr>
    </w:p>
    <w:p w:rsidR="00413497" w:rsidRPr="00D51CA3" w:rsidRDefault="00FF60FB" w:rsidP="003226BF">
      <w:pPr>
        <w:spacing w:after="0" w:line="240" w:lineRule="auto"/>
        <w:ind w:firstLine="709"/>
        <w:jc w:val="both"/>
        <w:rPr>
          <w:rFonts w:ascii="Times New Roman" w:eastAsia="Calibri" w:hAnsi="Times New Roman"/>
          <w:sz w:val="26"/>
          <w:szCs w:val="26"/>
          <w:lang w:eastAsia="en-US"/>
        </w:rPr>
      </w:pPr>
      <w:r w:rsidRPr="003226BF">
        <w:rPr>
          <w:rFonts w:ascii="Times New Roman" w:hAnsi="Times New Roman"/>
          <w:b/>
          <w:bCs/>
          <w:sz w:val="26"/>
          <w:szCs w:val="26"/>
        </w:rPr>
        <w:t>1.</w:t>
      </w:r>
      <w:r w:rsidR="00BF5FE7" w:rsidRPr="003226BF">
        <w:rPr>
          <w:rFonts w:ascii="Times New Roman" w:hAnsi="Times New Roman"/>
          <w:b/>
          <w:bCs/>
          <w:sz w:val="26"/>
          <w:szCs w:val="26"/>
        </w:rPr>
        <w:t>4.</w:t>
      </w:r>
      <w:r w:rsidR="00BF5FE7" w:rsidRPr="003226BF">
        <w:rPr>
          <w:rFonts w:ascii="Times New Roman" w:hAnsi="Times New Roman"/>
          <w:sz w:val="26"/>
          <w:szCs w:val="26"/>
        </w:rPr>
        <w:t xml:space="preserve"> </w:t>
      </w:r>
      <w:r w:rsidR="0098274A" w:rsidRPr="003226BF">
        <w:rPr>
          <w:rFonts w:ascii="Times New Roman" w:hAnsi="Times New Roman"/>
          <w:b/>
          <w:bCs/>
          <w:sz w:val="26"/>
          <w:szCs w:val="26"/>
        </w:rPr>
        <w:t>В заключениях на проекты законов Мурманской области</w:t>
      </w:r>
      <w:r w:rsidR="0098274A" w:rsidRPr="003226BF">
        <w:rPr>
          <w:rFonts w:ascii="Times New Roman" w:hAnsi="Times New Roman"/>
          <w:sz w:val="26"/>
          <w:szCs w:val="26"/>
        </w:rPr>
        <w:t xml:space="preserve"> </w:t>
      </w:r>
      <w:r w:rsidR="00413497" w:rsidRPr="003226BF">
        <w:rPr>
          <w:rFonts w:ascii="Times New Roman" w:hAnsi="Times New Roman"/>
          <w:b/>
          <w:bCs/>
          <w:sz w:val="26"/>
          <w:szCs w:val="26"/>
        </w:rPr>
        <w:t>«О внесении изменений</w:t>
      </w:r>
      <w:r w:rsidR="00413497" w:rsidRPr="00D51CA3">
        <w:rPr>
          <w:rFonts w:ascii="Times New Roman" w:eastAsia="Calibri" w:hAnsi="Times New Roman"/>
          <w:b/>
          <w:sz w:val="26"/>
          <w:szCs w:val="26"/>
          <w:lang w:eastAsia="en-US"/>
        </w:rPr>
        <w:t xml:space="preserve"> в Закон Мурманской области «О бюджете Территориального фонда обязательного медицинского страхования Мурманской области на 201</w:t>
      </w:r>
      <w:r w:rsidR="00D51CA3" w:rsidRPr="00D51CA3">
        <w:rPr>
          <w:rFonts w:ascii="Times New Roman" w:eastAsia="Calibri" w:hAnsi="Times New Roman"/>
          <w:b/>
          <w:sz w:val="26"/>
          <w:szCs w:val="26"/>
          <w:lang w:eastAsia="en-US"/>
        </w:rPr>
        <w:t>9</w:t>
      </w:r>
      <w:r w:rsidR="00413497" w:rsidRPr="00D51CA3">
        <w:rPr>
          <w:rFonts w:ascii="Times New Roman" w:eastAsia="Calibri" w:hAnsi="Times New Roman"/>
          <w:b/>
          <w:sz w:val="26"/>
          <w:szCs w:val="26"/>
          <w:lang w:eastAsia="en-US"/>
        </w:rPr>
        <w:t xml:space="preserve"> год и на плановый период 20</w:t>
      </w:r>
      <w:r w:rsidR="00D51CA3" w:rsidRPr="00D51CA3">
        <w:rPr>
          <w:rFonts w:ascii="Times New Roman" w:eastAsia="Calibri" w:hAnsi="Times New Roman"/>
          <w:b/>
          <w:sz w:val="26"/>
          <w:szCs w:val="26"/>
          <w:lang w:eastAsia="en-US"/>
        </w:rPr>
        <w:t>20</w:t>
      </w:r>
      <w:r w:rsidR="00413497" w:rsidRPr="00D51CA3">
        <w:rPr>
          <w:rFonts w:ascii="Times New Roman" w:eastAsia="Calibri" w:hAnsi="Times New Roman"/>
          <w:b/>
          <w:sz w:val="26"/>
          <w:szCs w:val="26"/>
          <w:lang w:eastAsia="en-US"/>
        </w:rPr>
        <w:t xml:space="preserve"> и 202</w:t>
      </w:r>
      <w:r w:rsidR="00D51CA3" w:rsidRPr="00D51CA3">
        <w:rPr>
          <w:rFonts w:ascii="Times New Roman" w:eastAsia="Calibri" w:hAnsi="Times New Roman"/>
          <w:b/>
          <w:sz w:val="26"/>
          <w:szCs w:val="26"/>
          <w:lang w:eastAsia="en-US"/>
        </w:rPr>
        <w:t>1</w:t>
      </w:r>
      <w:r w:rsidR="00413497" w:rsidRPr="00D51CA3">
        <w:rPr>
          <w:rFonts w:ascii="Times New Roman" w:eastAsia="Calibri" w:hAnsi="Times New Roman"/>
          <w:b/>
          <w:sz w:val="26"/>
          <w:szCs w:val="26"/>
          <w:lang w:eastAsia="en-US"/>
        </w:rPr>
        <w:t xml:space="preserve"> годов»</w:t>
      </w:r>
      <w:r w:rsidR="0098274A" w:rsidRPr="00D51CA3">
        <w:rPr>
          <w:rFonts w:ascii="Times New Roman" w:eastAsia="Calibri" w:hAnsi="Times New Roman"/>
          <w:b/>
          <w:sz w:val="26"/>
          <w:szCs w:val="26"/>
          <w:lang w:eastAsia="en-US"/>
        </w:rPr>
        <w:t xml:space="preserve"> </w:t>
      </w:r>
      <w:r w:rsidR="0098274A" w:rsidRPr="00D51CA3">
        <w:rPr>
          <w:rFonts w:ascii="Times New Roman" w:eastAsia="Calibri" w:hAnsi="Times New Roman"/>
          <w:sz w:val="26"/>
          <w:szCs w:val="26"/>
          <w:lang w:eastAsia="en-US"/>
        </w:rPr>
        <w:t>отмечено следующее</w:t>
      </w:r>
      <w:r w:rsidR="00CD4D7C">
        <w:rPr>
          <w:rFonts w:ascii="Times New Roman" w:eastAsia="Calibri" w:hAnsi="Times New Roman"/>
          <w:sz w:val="26"/>
          <w:szCs w:val="26"/>
          <w:lang w:eastAsia="en-US"/>
        </w:rPr>
        <w:t>.</w:t>
      </w:r>
    </w:p>
    <w:p w:rsidR="00D51CA3" w:rsidRPr="00D51CA3" w:rsidRDefault="00D51CA3" w:rsidP="00D51CA3">
      <w:pPr>
        <w:spacing w:after="0" w:line="240" w:lineRule="auto"/>
        <w:ind w:firstLine="709"/>
        <w:jc w:val="both"/>
        <w:rPr>
          <w:rFonts w:ascii="Times New Roman" w:hAnsi="Times New Roman"/>
          <w:sz w:val="26"/>
          <w:szCs w:val="26"/>
        </w:rPr>
      </w:pPr>
      <w:r w:rsidRPr="00D51CA3">
        <w:rPr>
          <w:rFonts w:ascii="Times New Roman" w:hAnsi="Times New Roman"/>
          <w:sz w:val="26"/>
          <w:szCs w:val="26"/>
        </w:rPr>
        <w:t>Изменения в Закон Мурманской области «О бюджете Территориального фонда обязательного медицинского страхования Мурманской области на 2019 год и на плановый период 2020 и 2021 годов» вносились в 2019 году дважды. По результатам экспертиз Счетной палатой подтверждена обоснованность вносимых изменений, дан анализ влияния изменений на объем расходов, направляемых на реализацию программы ОМС на 2019 год.</w:t>
      </w:r>
    </w:p>
    <w:p w:rsidR="00D51CA3" w:rsidRPr="00D51CA3" w:rsidRDefault="00D51CA3" w:rsidP="00D51CA3">
      <w:pPr>
        <w:spacing w:after="0" w:line="240" w:lineRule="auto"/>
        <w:ind w:firstLine="709"/>
        <w:jc w:val="both"/>
        <w:rPr>
          <w:rFonts w:ascii="Times New Roman" w:hAnsi="Times New Roman"/>
          <w:sz w:val="26"/>
          <w:szCs w:val="26"/>
        </w:rPr>
      </w:pPr>
      <w:r w:rsidRPr="00D51CA3">
        <w:rPr>
          <w:rFonts w:ascii="Times New Roman" w:hAnsi="Times New Roman"/>
          <w:sz w:val="26"/>
          <w:szCs w:val="26"/>
        </w:rPr>
        <w:t>Изменения, предлагаемые законопроектами, согласуются с принципом полноты отражения доходов, расходов и источников финансирования бюджета, установленным в статье 32 Бюджетного кодекса РФ.</w:t>
      </w:r>
      <w:r w:rsidR="00CD4D7C" w:rsidRPr="00CD4D7C">
        <w:rPr>
          <w:rFonts w:ascii="Times New Roman" w:hAnsi="Times New Roman"/>
          <w:sz w:val="26"/>
          <w:szCs w:val="26"/>
        </w:rPr>
        <w:t xml:space="preserve"> </w:t>
      </w:r>
      <w:r w:rsidRPr="00D51CA3">
        <w:rPr>
          <w:rFonts w:ascii="Times New Roman" w:hAnsi="Times New Roman"/>
          <w:sz w:val="26"/>
          <w:szCs w:val="26"/>
        </w:rPr>
        <w:t xml:space="preserve">При изменении доходов, расходов, дефицита бюджета бюджет ТФОМС Мурманской области на 2019 год оставался сбалансированным, что соответствовало принципу сбалансированности, установленному статьей 33 Бюджетного кодекса РФ. </w:t>
      </w:r>
    </w:p>
    <w:p w:rsidR="0039530B" w:rsidRPr="006244EB" w:rsidRDefault="00D51CA3" w:rsidP="00D51CA3">
      <w:pPr>
        <w:spacing w:after="0" w:line="240" w:lineRule="auto"/>
        <w:ind w:firstLine="709"/>
        <w:jc w:val="both"/>
        <w:rPr>
          <w:rFonts w:ascii="Times New Roman" w:hAnsi="Times New Roman"/>
          <w:sz w:val="26"/>
          <w:szCs w:val="26"/>
        </w:rPr>
      </w:pPr>
      <w:r w:rsidRPr="00D51CA3">
        <w:rPr>
          <w:rFonts w:ascii="Times New Roman" w:hAnsi="Times New Roman"/>
          <w:sz w:val="26"/>
          <w:szCs w:val="26"/>
        </w:rPr>
        <w:t xml:space="preserve">В заключении от 25.11.2019 Счетной палатой отмечено о предоставлении впервые бюджету ТФОМС средств из областного бюджета на реализацию базовой части Территориальной программы ОМС с целью оказания медицинской помощи больным с онкологическими заболеваниями в сумме 100 000,0 тыс. рублей. Предоставление и отражение в составе доходов т расходов бюджета ТФОМС данного целевого межбюджетного трансферта соответствует нормам подпункта 4 пункта 1 статьи 146 Бюджетного кодекса РФ и статьи 8 Федерального закона от 29.11.2010 № 326-ФЗ «Об обязательном медицинском страховании в Российской Федерации». На возможность и необходимость предоставления дополнительных средств областного бюджета на реализацию Территориальной программы ОМС с целью финансового </w:t>
      </w:r>
      <w:r w:rsidRPr="00D51CA3">
        <w:rPr>
          <w:rFonts w:ascii="Times New Roman" w:hAnsi="Times New Roman"/>
          <w:sz w:val="26"/>
          <w:szCs w:val="26"/>
        </w:rPr>
        <w:lastRenderedPageBreak/>
        <w:t>оздоровления медицинских учреждений Мурманской области ранее указывала Счетная палата.</w:t>
      </w:r>
      <w:r w:rsidR="0039530B" w:rsidRPr="006244EB">
        <w:rPr>
          <w:rFonts w:ascii="Times New Roman" w:hAnsi="Times New Roman"/>
          <w:sz w:val="26"/>
          <w:szCs w:val="26"/>
        </w:rPr>
        <w:t xml:space="preserve"> </w:t>
      </w:r>
    </w:p>
    <w:p w:rsidR="00C21E63" w:rsidRPr="006244EB" w:rsidRDefault="00C21E63" w:rsidP="006244EB">
      <w:pPr>
        <w:spacing w:after="0" w:line="120" w:lineRule="auto"/>
        <w:ind w:firstLine="709"/>
        <w:jc w:val="both"/>
        <w:rPr>
          <w:rFonts w:ascii="Times New Roman" w:hAnsi="Times New Roman"/>
          <w:sz w:val="26"/>
          <w:szCs w:val="26"/>
        </w:rPr>
      </w:pPr>
    </w:p>
    <w:p w:rsidR="00FF60FB" w:rsidRPr="00474426" w:rsidRDefault="00FF60FB" w:rsidP="000C0E65">
      <w:pPr>
        <w:spacing w:after="0" w:line="240" w:lineRule="auto"/>
        <w:ind w:firstLine="709"/>
        <w:jc w:val="center"/>
        <w:rPr>
          <w:rFonts w:ascii="Times New Roman" w:hAnsi="Times New Roman"/>
          <w:b/>
          <w:sz w:val="26"/>
          <w:szCs w:val="26"/>
        </w:rPr>
      </w:pPr>
      <w:r w:rsidRPr="00474426">
        <w:rPr>
          <w:rFonts w:ascii="Times New Roman" w:hAnsi="Times New Roman"/>
          <w:b/>
          <w:sz w:val="26"/>
          <w:szCs w:val="26"/>
        </w:rPr>
        <w:t xml:space="preserve">2. Заключения </w:t>
      </w:r>
      <w:r w:rsidR="004357BD" w:rsidRPr="00474426">
        <w:rPr>
          <w:rFonts w:ascii="Times New Roman" w:hAnsi="Times New Roman"/>
          <w:b/>
          <w:sz w:val="26"/>
          <w:szCs w:val="26"/>
        </w:rPr>
        <w:t>по результатам внешних проверок</w:t>
      </w:r>
      <w:r w:rsidRPr="00474426">
        <w:rPr>
          <w:rFonts w:ascii="Times New Roman" w:hAnsi="Times New Roman"/>
          <w:b/>
          <w:sz w:val="26"/>
          <w:szCs w:val="26"/>
        </w:rPr>
        <w:t xml:space="preserve"> отчетов об исполнении областного бюджета, бюджета Территориального фонда обязательного медицинского страхования Мурманской области, бюджетов муниципальных образований</w:t>
      </w:r>
    </w:p>
    <w:p w:rsidR="00220457" w:rsidRPr="00776431" w:rsidRDefault="004D4DCE" w:rsidP="00220457">
      <w:pPr>
        <w:pStyle w:val="60"/>
        <w:rPr>
          <w:rFonts w:eastAsia="Calibri"/>
        </w:rPr>
      </w:pPr>
      <w:r w:rsidRPr="004D4DCE">
        <w:rPr>
          <w:rFonts w:eastAsia="Calibri"/>
          <w:b/>
          <w:bCs/>
        </w:rPr>
        <w:t>2.1. </w:t>
      </w:r>
      <w:r w:rsidR="00220457" w:rsidRPr="004D4DCE">
        <w:rPr>
          <w:rFonts w:eastAsia="Calibri"/>
          <w:b/>
          <w:bCs/>
        </w:rPr>
        <w:t>По результатам в</w:t>
      </w:r>
      <w:r w:rsidR="00220457" w:rsidRPr="004D4DCE">
        <w:rPr>
          <w:b/>
          <w:bCs/>
        </w:rPr>
        <w:t>нешн</w:t>
      </w:r>
      <w:r w:rsidR="00220457" w:rsidRPr="004D4DCE">
        <w:rPr>
          <w:rFonts w:eastAsia="Calibri"/>
          <w:b/>
          <w:bCs/>
        </w:rPr>
        <w:t>ей</w:t>
      </w:r>
      <w:r w:rsidR="00220457" w:rsidRPr="004D4DCE">
        <w:rPr>
          <w:b/>
          <w:bCs/>
        </w:rPr>
        <w:t xml:space="preserve"> проверк</w:t>
      </w:r>
      <w:r w:rsidR="00220457" w:rsidRPr="004D4DCE">
        <w:rPr>
          <w:rFonts w:eastAsia="Calibri"/>
          <w:b/>
          <w:bCs/>
        </w:rPr>
        <w:t>и</w:t>
      </w:r>
      <w:r w:rsidR="00220457" w:rsidRPr="004D4DCE">
        <w:rPr>
          <w:b/>
          <w:bCs/>
        </w:rPr>
        <w:t xml:space="preserve"> годового отчета об исполнении областного бюджета за 2018 год</w:t>
      </w:r>
      <w:r w:rsidR="00220457" w:rsidRPr="00776431">
        <w:rPr>
          <w:rFonts w:eastAsia="Calibri"/>
        </w:rPr>
        <w:t xml:space="preserve"> установлено следующее:</w:t>
      </w:r>
    </w:p>
    <w:p w:rsidR="00220457" w:rsidRPr="00300B29" w:rsidRDefault="00220457" w:rsidP="00220457">
      <w:pPr>
        <w:pStyle w:val="af6"/>
      </w:pPr>
      <w:r w:rsidRPr="00300B29">
        <w:sym w:font="Symbol" w:char="F0B7"/>
      </w:r>
      <w:r w:rsidRPr="00300B29">
        <w:t xml:space="preserve"> структура и состав </w:t>
      </w:r>
      <w:r>
        <w:t>о</w:t>
      </w:r>
      <w:r w:rsidRPr="00300B29">
        <w:t>тчета об исполнении бюджета и бюджетной отчетности главных администраторов бюджетных средств в целом соответствуют требованиям нормативных правовых актов;</w:t>
      </w:r>
    </w:p>
    <w:p w:rsidR="00220457" w:rsidRPr="00300B29" w:rsidRDefault="00220457" w:rsidP="00220457">
      <w:pPr>
        <w:pStyle w:val="af6"/>
      </w:pPr>
      <w:r w:rsidRPr="00300B29">
        <w:sym w:font="Symbol" w:char="F0B7"/>
      </w:r>
      <w:r w:rsidRPr="00300B29">
        <w:t> </w:t>
      </w:r>
      <w:r>
        <w:t>о</w:t>
      </w:r>
      <w:r w:rsidRPr="00300B29">
        <w:t xml:space="preserve">тчет об исполнении бюджета содержит данные по доходам, расходам и источникам финансирования дефицита бюджета, соответствующие показателям бюджетной отчетности главных </w:t>
      </w:r>
      <w:r w:rsidRPr="00300B29">
        <w:rPr>
          <w:rFonts w:eastAsia="Calibri"/>
        </w:rPr>
        <w:t>администраторов средств областного</w:t>
      </w:r>
      <w:r w:rsidRPr="00300B29">
        <w:t xml:space="preserve"> бюджета;</w:t>
      </w:r>
    </w:p>
    <w:p w:rsidR="00220457" w:rsidRPr="00300B29" w:rsidRDefault="00220457" w:rsidP="00220457">
      <w:pPr>
        <w:pStyle w:val="af6"/>
      </w:pPr>
      <w:r w:rsidRPr="00300B29">
        <w:sym w:font="Symbol" w:char="F0B7"/>
      </w:r>
      <w:r w:rsidRPr="00300B29">
        <w:t xml:space="preserve"> в бюджетной отчетности главных </w:t>
      </w:r>
      <w:r w:rsidRPr="00300B29">
        <w:rPr>
          <w:rFonts w:eastAsia="Calibri"/>
        </w:rPr>
        <w:t>администраторов средств областного</w:t>
      </w:r>
      <w:r w:rsidRPr="00300B29">
        <w:t xml:space="preserve"> бюджета выявлены факты неполноты и несоответствия требованиям </w:t>
      </w:r>
      <w:r w:rsidRPr="00300B29">
        <w:rPr>
          <w:rFonts w:eastAsia="Calibri"/>
        </w:rPr>
        <w:t xml:space="preserve">Инструкции </w:t>
      </w:r>
      <w:r w:rsidRPr="00776431">
        <w:rPr>
          <w:rFonts w:eastAsia="Calibri"/>
        </w:rPr>
        <w:t>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 декабря 2010 года №</w:t>
      </w:r>
      <w:r>
        <w:rPr>
          <w:rFonts w:eastAsia="Calibri"/>
        </w:rPr>
        <w:t> </w:t>
      </w:r>
      <w:r w:rsidRPr="00776431">
        <w:rPr>
          <w:rFonts w:eastAsia="Calibri"/>
        </w:rPr>
        <w:t>191н (с изменениями)</w:t>
      </w:r>
      <w:r w:rsidRPr="00300B29">
        <w:rPr>
          <w:rFonts w:eastAsia="Calibri"/>
        </w:rPr>
        <w:t xml:space="preserve">, не повлиявшие на достоверность итоговых показателей </w:t>
      </w:r>
      <w:r>
        <w:rPr>
          <w:rFonts w:eastAsia="Calibri"/>
        </w:rPr>
        <w:t>о</w:t>
      </w:r>
      <w:r w:rsidRPr="00300B29">
        <w:rPr>
          <w:rFonts w:eastAsia="Calibri"/>
        </w:rPr>
        <w:t>тчета об исполнении бюджета</w:t>
      </w:r>
      <w:r w:rsidRPr="00300B29">
        <w:t>.</w:t>
      </w:r>
    </w:p>
    <w:p w:rsidR="00895498" w:rsidRPr="00007497" w:rsidRDefault="00895498" w:rsidP="006244EB">
      <w:pPr>
        <w:spacing w:after="0" w:line="240" w:lineRule="auto"/>
        <w:ind w:firstLine="709"/>
        <w:jc w:val="both"/>
        <w:rPr>
          <w:rFonts w:ascii="Times New Roman" w:eastAsia="Calibri" w:hAnsi="Times New Roman"/>
          <w:b/>
          <w:sz w:val="16"/>
          <w:szCs w:val="16"/>
          <w:lang w:eastAsia="en-US"/>
        </w:rPr>
      </w:pPr>
    </w:p>
    <w:p w:rsidR="00AE2888" w:rsidRPr="00AE2888" w:rsidRDefault="00FF60FB" w:rsidP="00AE2888">
      <w:pPr>
        <w:spacing w:after="0" w:line="240" w:lineRule="auto"/>
        <w:ind w:firstLine="709"/>
        <w:jc w:val="both"/>
        <w:rPr>
          <w:rFonts w:ascii="Times New Roman" w:eastAsia="Calibri" w:hAnsi="Times New Roman"/>
          <w:sz w:val="26"/>
          <w:szCs w:val="26"/>
          <w:lang w:eastAsia="en-US"/>
        </w:rPr>
      </w:pPr>
      <w:r w:rsidRPr="00D51CA3">
        <w:rPr>
          <w:rFonts w:ascii="Times New Roman" w:eastAsia="Calibri" w:hAnsi="Times New Roman"/>
          <w:b/>
          <w:sz w:val="26"/>
          <w:szCs w:val="26"/>
          <w:lang w:eastAsia="en-US"/>
        </w:rPr>
        <w:t>2.2</w:t>
      </w:r>
      <w:r w:rsidR="00EA6336" w:rsidRPr="00D51CA3">
        <w:rPr>
          <w:rFonts w:ascii="Times New Roman" w:eastAsia="Calibri" w:hAnsi="Times New Roman"/>
          <w:b/>
          <w:sz w:val="26"/>
          <w:szCs w:val="26"/>
          <w:lang w:eastAsia="en-US"/>
        </w:rPr>
        <w:t>.</w:t>
      </w:r>
      <w:r w:rsidR="0098274A" w:rsidRPr="00D51CA3">
        <w:rPr>
          <w:rFonts w:ascii="Times New Roman" w:eastAsia="Calibri" w:hAnsi="Times New Roman"/>
          <w:b/>
          <w:sz w:val="26"/>
          <w:szCs w:val="26"/>
          <w:lang w:eastAsia="en-US"/>
        </w:rPr>
        <w:tab/>
      </w:r>
      <w:r w:rsidR="00CD4D7C">
        <w:rPr>
          <w:rFonts w:ascii="Times New Roman" w:eastAsia="Calibri" w:hAnsi="Times New Roman"/>
          <w:b/>
          <w:sz w:val="26"/>
          <w:szCs w:val="26"/>
          <w:lang w:eastAsia="en-US"/>
        </w:rPr>
        <w:t>При п</w:t>
      </w:r>
      <w:r w:rsidR="0098274A" w:rsidRPr="00D51CA3">
        <w:rPr>
          <w:rFonts w:ascii="Times New Roman" w:eastAsia="Calibri" w:hAnsi="Times New Roman"/>
          <w:b/>
          <w:sz w:val="26"/>
          <w:szCs w:val="26"/>
          <w:lang w:eastAsia="en-US"/>
        </w:rPr>
        <w:t>роверк</w:t>
      </w:r>
      <w:r w:rsidR="00CD4D7C">
        <w:rPr>
          <w:rFonts w:ascii="Times New Roman" w:eastAsia="Calibri" w:hAnsi="Times New Roman"/>
          <w:b/>
          <w:sz w:val="26"/>
          <w:szCs w:val="26"/>
          <w:lang w:eastAsia="en-US"/>
        </w:rPr>
        <w:t>е</w:t>
      </w:r>
      <w:r w:rsidR="0098274A" w:rsidRPr="00D51CA3">
        <w:rPr>
          <w:rFonts w:ascii="Times New Roman" w:eastAsia="Calibri" w:hAnsi="Times New Roman"/>
          <w:b/>
          <w:sz w:val="26"/>
          <w:szCs w:val="26"/>
          <w:lang w:eastAsia="en-US"/>
        </w:rPr>
        <w:t xml:space="preserve"> отчета об исполнении бюджета Территориального фонда обязательного медицинского страхования Мурманской области за 201</w:t>
      </w:r>
      <w:r w:rsidR="00D51CA3" w:rsidRPr="00D51CA3">
        <w:rPr>
          <w:rFonts w:ascii="Times New Roman" w:eastAsia="Calibri" w:hAnsi="Times New Roman"/>
          <w:b/>
          <w:sz w:val="26"/>
          <w:szCs w:val="26"/>
          <w:lang w:eastAsia="en-US"/>
        </w:rPr>
        <w:t>8</w:t>
      </w:r>
      <w:r w:rsidR="0098274A" w:rsidRPr="00D51CA3">
        <w:rPr>
          <w:rFonts w:ascii="Times New Roman" w:eastAsia="Calibri" w:hAnsi="Times New Roman"/>
          <w:b/>
          <w:sz w:val="26"/>
          <w:szCs w:val="26"/>
          <w:lang w:eastAsia="en-US"/>
        </w:rPr>
        <w:t xml:space="preserve"> год</w:t>
      </w:r>
      <w:r w:rsidR="00CD4D7C">
        <w:rPr>
          <w:rFonts w:ascii="Times New Roman" w:eastAsia="Calibri" w:hAnsi="Times New Roman"/>
          <w:b/>
          <w:sz w:val="26"/>
          <w:szCs w:val="26"/>
          <w:lang w:eastAsia="en-US"/>
        </w:rPr>
        <w:t xml:space="preserve"> </w:t>
      </w:r>
      <w:r w:rsidR="00AE2888" w:rsidRPr="00D51CA3">
        <w:rPr>
          <w:rFonts w:ascii="Times New Roman" w:eastAsia="Calibri" w:hAnsi="Times New Roman"/>
          <w:sz w:val="26"/>
          <w:szCs w:val="26"/>
          <w:lang w:eastAsia="en-US"/>
        </w:rPr>
        <w:t>Счетной палатой дана оценка:</w:t>
      </w:r>
    </w:p>
    <w:p w:rsidR="00AE2888" w:rsidRPr="00CD4D7C" w:rsidRDefault="00CD4D7C" w:rsidP="00CD4D7C">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AE2888" w:rsidRPr="00CD4D7C">
        <w:rPr>
          <w:rFonts w:ascii="Times New Roman" w:hAnsi="Times New Roman"/>
          <w:sz w:val="26"/>
          <w:szCs w:val="26"/>
        </w:rPr>
        <w:t xml:space="preserve"> общих характеристик годовой бюджетной отчетности ТФОМС Мурманской области за 2018 год, согласно которой отчет об исполнении бюджета Территориального фонда обязательного медицинского страхования Мурманской области за 2018 год по составу форм, структуре и срокам предоставления годовой бюджетной отчетности соответствует требованиям бюджетного законодательства Российской Федерации, достоверность его показателей подтверждается данными бухгалтерского и бюджетного учета;</w:t>
      </w:r>
    </w:p>
    <w:p w:rsidR="00AE2888" w:rsidRPr="00CD4D7C" w:rsidRDefault="00CD4D7C" w:rsidP="00CD4D7C">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AE2888" w:rsidRPr="00CD4D7C">
        <w:rPr>
          <w:rFonts w:ascii="Times New Roman" w:hAnsi="Times New Roman"/>
          <w:sz w:val="26"/>
          <w:szCs w:val="26"/>
        </w:rPr>
        <w:t xml:space="preserve"> уровня исполнения бюджета ТФОМС Мурманской области за 2018 год. Так, доходы бюджета ТФОМС Мурманской области за 2018 год исполнены в сумме 16 758 521,0 тыс. рублей или на 100,0 % от плановых бюджетных назначений,  расходы бюджета ТФОМС Мурманской области за 2018 год исполнены в сумме 16 739 330,9 тыс. рублей, или на 99,8 % от бюджетных назначений, утвержденных уточненной сводной бюджетной росписью, профицит бюджета составил 19 190,1 тыс. рублей, при плановом показателе дефицита – 12 716,4 тыс. рублей;</w:t>
      </w:r>
    </w:p>
    <w:p w:rsidR="00AE2888" w:rsidRPr="00CD4D7C" w:rsidRDefault="00CD4D7C" w:rsidP="00CD4D7C">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AE2888" w:rsidRPr="00CD4D7C">
        <w:rPr>
          <w:rFonts w:ascii="Times New Roman" w:hAnsi="Times New Roman"/>
          <w:sz w:val="26"/>
          <w:szCs w:val="26"/>
        </w:rPr>
        <w:t xml:space="preserve"> уровня исполнения медицинскими учреждениями Программы ОМС за 2018 год, утвержденная стоимость которой не превысила размер бюджетных ассигнований на реализацию Программы ОМС, установленный Законом о бюджете ТФОМС на 2018 год (16 425 516,1 тыс. рублей), что соответствует требованиям пункта 11 статьи 36 Федерального закона от 29.11.2010 № 326-ФЗ</w:t>
      </w:r>
      <w:r>
        <w:rPr>
          <w:rFonts w:ascii="Times New Roman" w:hAnsi="Times New Roman"/>
          <w:sz w:val="26"/>
          <w:szCs w:val="26"/>
        </w:rPr>
        <w:t>.</w:t>
      </w:r>
    </w:p>
    <w:p w:rsidR="0039530B" w:rsidRDefault="00CD4D7C" w:rsidP="00AE2888">
      <w:pPr>
        <w:spacing w:after="0" w:line="240" w:lineRule="auto"/>
        <w:ind w:firstLine="709"/>
        <w:jc w:val="both"/>
        <w:rPr>
          <w:rFonts w:ascii="Times New Roman" w:eastAsia="Calibri" w:hAnsi="Times New Roman"/>
          <w:sz w:val="26"/>
          <w:szCs w:val="26"/>
          <w:lang w:eastAsia="en-US"/>
        </w:rPr>
      </w:pPr>
      <w:r>
        <w:rPr>
          <w:rFonts w:ascii="Times New Roman" w:hAnsi="Times New Roman"/>
          <w:sz w:val="26"/>
          <w:szCs w:val="26"/>
        </w:rPr>
        <w:t xml:space="preserve">В </w:t>
      </w:r>
      <w:r w:rsidR="00AE2888" w:rsidRPr="00AE2888">
        <w:rPr>
          <w:rFonts w:ascii="Times New Roman" w:eastAsia="Calibri" w:hAnsi="Times New Roman"/>
          <w:sz w:val="26"/>
          <w:szCs w:val="26"/>
          <w:lang w:eastAsia="en-US"/>
        </w:rPr>
        <w:t xml:space="preserve">ходе проверки установлено недостоверное содержание Баланса исполнения бюджета (ф.0503120) и нарушение порядка составления бюджетной отчетности (пункта 112 Инструкции № 191н), не повлиявшее на достоверность Отчета об </w:t>
      </w:r>
      <w:r w:rsidR="00AE2888" w:rsidRPr="00AE2888">
        <w:rPr>
          <w:rFonts w:ascii="Times New Roman" w:eastAsia="Calibri" w:hAnsi="Times New Roman"/>
          <w:sz w:val="26"/>
          <w:szCs w:val="26"/>
          <w:lang w:eastAsia="en-US"/>
        </w:rPr>
        <w:lastRenderedPageBreak/>
        <w:t>исполнении бюджета ТФОМС за 2018 год. Так, показатель по строке 251 графы 6 и 8 Баланса исполнения бюджета (ф.0503120) занижен на 24,6 тыс. рублей по сравнению с аналогичным показателем Главной книги, не соответствует идентичному показателю Сведений по дебиторской и кредиторской задолженности (ф.0503169), прилагаемых к Пояснительной записке (ф.0503160).</w:t>
      </w:r>
    </w:p>
    <w:p w:rsidR="00D51CA3" w:rsidRPr="0061759E" w:rsidRDefault="00D51CA3" w:rsidP="00AE2888">
      <w:pPr>
        <w:spacing w:after="0" w:line="240" w:lineRule="auto"/>
        <w:ind w:firstLine="709"/>
        <w:jc w:val="both"/>
        <w:rPr>
          <w:rFonts w:ascii="Times New Roman" w:hAnsi="Times New Roman"/>
          <w:sz w:val="16"/>
          <w:szCs w:val="16"/>
          <w:highlight w:val="yellow"/>
        </w:rPr>
      </w:pPr>
    </w:p>
    <w:p w:rsidR="00436F45" w:rsidRPr="00D51CA3" w:rsidRDefault="00FF60FB" w:rsidP="006244EB">
      <w:pPr>
        <w:spacing w:after="0" w:line="240" w:lineRule="auto"/>
        <w:ind w:firstLine="709"/>
        <w:jc w:val="both"/>
        <w:rPr>
          <w:rFonts w:ascii="Times New Roman" w:eastAsia="Calibri" w:hAnsi="Times New Roman"/>
          <w:b/>
          <w:sz w:val="26"/>
          <w:szCs w:val="26"/>
          <w:lang w:eastAsia="en-US"/>
        </w:rPr>
      </w:pPr>
      <w:r w:rsidRPr="00D51CA3">
        <w:rPr>
          <w:rFonts w:ascii="Times New Roman" w:hAnsi="Times New Roman"/>
          <w:b/>
          <w:sz w:val="26"/>
          <w:szCs w:val="26"/>
        </w:rPr>
        <w:t>2.3</w:t>
      </w:r>
      <w:r w:rsidR="0039530B" w:rsidRPr="00D51CA3">
        <w:rPr>
          <w:rFonts w:ascii="Times New Roman" w:hAnsi="Times New Roman"/>
          <w:b/>
          <w:sz w:val="26"/>
          <w:szCs w:val="26"/>
        </w:rPr>
        <w:t>.</w:t>
      </w:r>
      <w:r w:rsidR="0039530B" w:rsidRPr="00D51CA3">
        <w:rPr>
          <w:rFonts w:ascii="Times New Roman" w:hAnsi="Times New Roman"/>
          <w:sz w:val="26"/>
          <w:szCs w:val="26"/>
        </w:rPr>
        <w:t xml:space="preserve"> </w:t>
      </w:r>
      <w:r w:rsidR="00436F45" w:rsidRPr="00D51CA3">
        <w:rPr>
          <w:rFonts w:ascii="Times New Roman" w:eastAsia="Calibri" w:hAnsi="Times New Roman"/>
          <w:b/>
          <w:sz w:val="26"/>
          <w:szCs w:val="26"/>
          <w:lang w:eastAsia="en-US"/>
        </w:rPr>
        <w:t xml:space="preserve">Проверки годовых отчетов об исполнении местных бюджетов за </w:t>
      </w:r>
      <w:r w:rsidR="00B12BD2" w:rsidRPr="00D51CA3">
        <w:rPr>
          <w:rFonts w:ascii="Times New Roman" w:eastAsia="Calibri" w:hAnsi="Times New Roman"/>
          <w:b/>
          <w:sz w:val="26"/>
          <w:szCs w:val="26"/>
          <w:lang w:eastAsia="en-US"/>
        </w:rPr>
        <w:t>2</w:t>
      </w:r>
      <w:r w:rsidR="00436F45" w:rsidRPr="00D51CA3">
        <w:rPr>
          <w:rFonts w:ascii="Times New Roman" w:eastAsia="Calibri" w:hAnsi="Times New Roman"/>
          <w:b/>
          <w:sz w:val="26"/>
          <w:szCs w:val="26"/>
          <w:lang w:eastAsia="en-US"/>
        </w:rPr>
        <w:t>01</w:t>
      </w:r>
      <w:r w:rsidR="00D51CA3" w:rsidRPr="00D51CA3">
        <w:rPr>
          <w:rFonts w:ascii="Times New Roman" w:eastAsia="Calibri" w:hAnsi="Times New Roman"/>
          <w:b/>
          <w:sz w:val="26"/>
          <w:szCs w:val="26"/>
          <w:lang w:eastAsia="en-US"/>
        </w:rPr>
        <w:t>8</w:t>
      </w:r>
      <w:r w:rsidR="00436F45" w:rsidRPr="00D51CA3">
        <w:rPr>
          <w:rFonts w:ascii="Times New Roman" w:eastAsia="Calibri" w:hAnsi="Times New Roman"/>
          <w:b/>
          <w:sz w:val="26"/>
          <w:szCs w:val="26"/>
          <w:lang w:eastAsia="en-US"/>
        </w:rPr>
        <w:t xml:space="preserve"> год</w:t>
      </w:r>
    </w:p>
    <w:p w:rsidR="00D51CA3" w:rsidRPr="00D51CA3" w:rsidRDefault="00D51CA3" w:rsidP="00D51CA3">
      <w:pPr>
        <w:spacing w:after="0" w:line="240" w:lineRule="auto"/>
        <w:ind w:firstLine="708"/>
        <w:jc w:val="both"/>
        <w:rPr>
          <w:rFonts w:ascii="Times New Roman" w:eastAsia="Calibri" w:hAnsi="Times New Roman"/>
          <w:sz w:val="26"/>
          <w:szCs w:val="26"/>
          <w:lang w:eastAsia="en-US"/>
        </w:rPr>
      </w:pPr>
      <w:r>
        <w:rPr>
          <w:rFonts w:ascii="Times New Roman" w:hAnsi="Times New Roman"/>
          <w:sz w:val="26"/>
          <w:szCs w:val="26"/>
        </w:rPr>
        <w:t xml:space="preserve"> </w:t>
      </w:r>
      <w:r w:rsidRPr="00D51CA3">
        <w:rPr>
          <w:rFonts w:ascii="Times New Roman" w:eastAsia="Calibri" w:hAnsi="Times New Roman"/>
          <w:sz w:val="26"/>
          <w:szCs w:val="26"/>
          <w:lang w:eastAsia="en-US"/>
        </w:rPr>
        <w:t xml:space="preserve">В соответствии с требованием подпункта 4 пункта 3 статьи 136 Бюджетного кодекса РФ, на основании пункта 2 статьи 264.4 Бюджетного кодекса РФ в марте – апреле 2018 года проведены внешние проверки (проверки) годовых отчетов с подготовкой заключений об исполнении местных бюджетов за 2018 год в 4-х муниципальных образованиях: Терский район, ЗАТО г. Островной, </w:t>
      </w:r>
      <w:proofErr w:type="spellStart"/>
      <w:r w:rsidRPr="00D51CA3">
        <w:rPr>
          <w:rFonts w:ascii="Times New Roman" w:eastAsia="Calibri" w:hAnsi="Times New Roman"/>
          <w:sz w:val="26"/>
          <w:szCs w:val="26"/>
          <w:lang w:eastAsia="en-US"/>
        </w:rPr>
        <w:t>с.п</w:t>
      </w:r>
      <w:proofErr w:type="spellEnd"/>
      <w:r w:rsidRPr="00D51CA3">
        <w:rPr>
          <w:rFonts w:ascii="Times New Roman" w:eastAsia="Calibri" w:hAnsi="Times New Roman"/>
          <w:sz w:val="26"/>
          <w:szCs w:val="26"/>
          <w:lang w:eastAsia="en-US"/>
        </w:rPr>
        <w:t xml:space="preserve">. </w:t>
      </w:r>
      <w:proofErr w:type="spellStart"/>
      <w:r w:rsidRPr="00D51CA3">
        <w:rPr>
          <w:rFonts w:ascii="Times New Roman" w:eastAsia="Calibri" w:hAnsi="Times New Roman"/>
          <w:sz w:val="26"/>
          <w:szCs w:val="26"/>
          <w:lang w:eastAsia="en-US"/>
        </w:rPr>
        <w:t>Корзуново</w:t>
      </w:r>
      <w:proofErr w:type="spellEnd"/>
      <w:r w:rsidRPr="00D51CA3">
        <w:rPr>
          <w:rFonts w:ascii="Times New Roman" w:eastAsia="Calibri" w:hAnsi="Times New Roman"/>
          <w:sz w:val="26"/>
          <w:szCs w:val="26"/>
          <w:lang w:eastAsia="en-US"/>
        </w:rPr>
        <w:t xml:space="preserve"> </w:t>
      </w:r>
      <w:proofErr w:type="spellStart"/>
      <w:r w:rsidRPr="00D51CA3">
        <w:rPr>
          <w:rFonts w:ascii="Times New Roman" w:eastAsia="Calibri" w:hAnsi="Times New Roman"/>
          <w:sz w:val="26"/>
          <w:szCs w:val="26"/>
          <w:lang w:eastAsia="en-US"/>
        </w:rPr>
        <w:t>Печенгского</w:t>
      </w:r>
      <w:proofErr w:type="spellEnd"/>
      <w:r w:rsidRPr="00D51CA3">
        <w:rPr>
          <w:rFonts w:ascii="Times New Roman" w:eastAsia="Calibri" w:hAnsi="Times New Roman"/>
          <w:sz w:val="26"/>
          <w:szCs w:val="26"/>
          <w:lang w:eastAsia="en-US"/>
        </w:rPr>
        <w:t xml:space="preserve"> района, </w:t>
      </w:r>
      <w:proofErr w:type="spellStart"/>
      <w:r w:rsidRPr="00D51CA3">
        <w:rPr>
          <w:rFonts w:ascii="Times New Roman" w:eastAsia="Calibri" w:hAnsi="Times New Roman"/>
          <w:sz w:val="26"/>
          <w:szCs w:val="26"/>
          <w:lang w:eastAsia="en-US"/>
        </w:rPr>
        <w:t>с.п</w:t>
      </w:r>
      <w:proofErr w:type="spellEnd"/>
      <w:r w:rsidRPr="00D51CA3">
        <w:rPr>
          <w:rFonts w:ascii="Times New Roman" w:eastAsia="Calibri" w:hAnsi="Times New Roman"/>
          <w:sz w:val="26"/>
          <w:szCs w:val="26"/>
          <w:lang w:eastAsia="en-US"/>
        </w:rPr>
        <w:t>. Зареченск Кандалакшского района.</w:t>
      </w:r>
    </w:p>
    <w:p w:rsidR="00D51CA3" w:rsidRPr="00D51CA3" w:rsidRDefault="00D51CA3" w:rsidP="00D51CA3">
      <w:pPr>
        <w:spacing w:after="0" w:line="240" w:lineRule="auto"/>
        <w:ind w:firstLine="708"/>
        <w:jc w:val="both"/>
        <w:rPr>
          <w:rFonts w:ascii="Times New Roman" w:eastAsia="Calibri" w:hAnsi="Times New Roman"/>
          <w:sz w:val="26"/>
          <w:szCs w:val="26"/>
          <w:lang w:eastAsia="en-US"/>
        </w:rPr>
      </w:pPr>
      <w:r>
        <w:rPr>
          <w:rFonts w:ascii="Times New Roman" w:hAnsi="Times New Roman"/>
          <w:sz w:val="26"/>
          <w:szCs w:val="26"/>
        </w:rPr>
        <w:t xml:space="preserve"> </w:t>
      </w:r>
      <w:r w:rsidRPr="00D51CA3">
        <w:rPr>
          <w:rFonts w:ascii="Times New Roman" w:eastAsia="Calibri" w:hAnsi="Times New Roman"/>
          <w:sz w:val="26"/>
          <w:szCs w:val="26"/>
          <w:lang w:eastAsia="en-US"/>
        </w:rPr>
        <w:t>По результатам мероприятий показатели годовых отчетов об исполнении бюджетов за 2018 год по всем проверенным муниципальным образованиям подтверждены. Отдельные недостатки оформления годовой бюджетной отчетности, организации бюджетного процесса главными распорядителями бюджетных средств и технические ошибки, выявленные при проведении мероприятий, не повлияли на достоверность отчетных данных.</w:t>
      </w:r>
    </w:p>
    <w:p w:rsidR="00D51CA3" w:rsidRPr="00D51CA3" w:rsidRDefault="00D51CA3" w:rsidP="00D51CA3">
      <w:pPr>
        <w:spacing w:after="0" w:line="240" w:lineRule="auto"/>
        <w:ind w:firstLine="708"/>
        <w:jc w:val="both"/>
        <w:rPr>
          <w:rFonts w:ascii="Times New Roman" w:eastAsia="Calibri" w:hAnsi="Times New Roman"/>
          <w:sz w:val="26"/>
          <w:szCs w:val="26"/>
          <w:lang w:eastAsia="en-US"/>
        </w:rPr>
      </w:pPr>
      <w:r w:rsidRPr="00D51CA3">
        <w:rPr>
          <w:rFonts w:ascii="Times New Roman" w:eastAsia="Calibri" w:hAnsi="Times New Roman"/>
          <w:sz w:val="26"/>
          <w:szCs w:val="26"/>
          <w:lang w:eastAsia="en-US"/>
        </w:rPr>
        <w:t>Заключения на годовые отчеты об исполнении местных бюджетов за 2018 год направлены Счетной палатой в представительные органы муниципальных образований и местные администрации в сроки, установленные Бюджетным кодексом РФ (до 1 мая). Заключения также направлены в Министерство финансов Мурманской области.</w:t>
      </w:r>
    </w:p>
    <w:p w:rsidR="00D51CA3" w:rsidRPr="00D51CA3" w:rsidRDefault="00D51CA3" w:rsidP="00D51CA3">
      <w:pPr>
        <w:spacing w:after="0" w:line="240" w:lineRule="auto"/>
        <w:ind w:firstLine="708"/>
        <w:jc w:val="both"/>
        <w:rPr>
          <w:rFonts w:ascii="Times New Roman" w:eastAsia="Calibri" w:hAnsi="Times New Roman"/>
          <w:sz w:val="26"/>
          <w:szCs w:val="26"/>
          <w:lang w:eastAsia="en-US"/>
        </w:rPr>
      </w:pPr>
      <w:r>
        <w:rPr>
          <w:rFonts w:ascii="Times New Roman" w:hAnsi="Times New Roman"/>
          <w:sz w:val="26"/>
          <w:szCs w:val="26"/>
        </w:rPr>
        <w:t xml:space="preserve"> </w:t>
      </w:r>
      <w:r w:rsidRPr="00D51CA3">
        <w:rPr>
          <w:rFonts w:ascii="Times New Roman" w:eastAsia="Calibri" w:hAnsi="Times New Roman"/>
          <w:sz w:val="26"/>
          <w:szCs w:val="26"/>
          <w:lang w:eastAsia="en-US"/>
        </w:rPr>
        <w:t>В ходе проверки отчета об исполнении местного бюджета за 2018 год муниципального образования ЗАТО г. Островной, проведенной совместно с контрольно-счетным органом ЗАТО г. Островной, установлены нарушения бюджетного законодательства при осуществлении бюджетного процесса в муниципальном образовании (невыполнение муниципального задания отдельными бюджетными учреждениями, неверное отражение кодов расходов в бюджетной смете, невозврат в областной бюджет неиспользованных на 01.01.2019 остатков межбюджетных трансфертов в сумме 28,8 тыс. рублей).</w:t>
      </w:r>
    </w:p>
    <w:p w:rsidR="00D51CA3" w:rsidRPr="00D51CA3" w:rsidRDefault="00D51CA3" w:rsidP="00D51CA3">
      <w:pPr>
        <w:spacing w:after="0" w:line="240" w:lineRule="auto"/>
        <w:ind w:firstLine="708"/>
        <w:jc w:val="both"/>
        <w:rPr>
          <w:rFonts w:ascii="Times New Roman" w:eastAsia="Calibri" w:hAnsi="Times New Roman"/>
          <w:sz w:val="26"/>
          <w:szCs w:val="26"/>
          <w:lang w:eastAsia="en-US"/>
        </w:rPr>
      </w:pPr>
      <w:r>
        <w:rPr>
          <w:rFonts w:ascii="Times New Roman" w:hAnsi="Times New Roman"/>
          <w:sz w:val="26"/>
          <w:szCs w:val="26"/>
        </w:rPr>
        <w:t xml:space="preserve"> </w:t>
      </w:r>
      <w:r w:rsidRPr="00D51CA3">
        <w:rPr>
          <w:rFonts w:ascii="Times New Roman" w:eastAsia="Calibri" w:hAnsi="Times New Roman"/>
          <w:sz w:val="26"/>
          <w:szCs w:val="26"/>
          <w:lang w:eastAsia="en-US"/>
        </w:rPr>
        <w:t>Должностные лица трех бюджетных учреждений ЗАТО г. Островной привлечены к административной ответственности с назначением административного наказания в виде предупреждения.</w:t>
      </w:r>
    </w:p>
    <w:p w:rsidR="00FF60FB" w:rsidRDefault="00D51CA3" w:rsidP="00D51CA3">
      <w:pPr>
        <w:spacing w:after="0" w:line="240" w:lineRule="auto"/>
        <w:ind w:firstLine="708"/>
        <w:jc w:val="both"/>
        <w:rPr>
          <w:rFonts w:ascii="Times New Roman" w:eastAsia="Calibri" w:hAnsi="Times New Roman"/>
          <w:sz w:val="26"/>
          <w:szCs w:val="26"/>
          <w:lang w:eastAsia="en-US"/>
        </w:rPr>
      </w:pPr>
      <w:r>
        <w:rPr>
          <w:rFonts w:ascii="Times New Roman" w:hAnsi="Times New Roman"/>
          <w:sz w:val="26"/>
          <w:szCs w:val="26"/>
        </w:rPr>
        <w:t xml:space="preserve"> </w:t>
      </w:r>
      <w:r w:rsidRPr="00D51CA3">
        <w:rPr>
          <w:rFonts w:ascii="Times New Roman" w:eastAsia="Calibri" w:hAnsi="Times New Roman"/>
          <w:sz w:val="26"/>
          <w:szCs w:val="26"/>
          <w:lang w:eastAsia="en-US"/>
        </w:rPr>
        <w:t>По результатам рассмотрения предписания Счетной палаты от 26.04.2019 № 05-02/212 администрацией муниципального образования ЗАТО г. Островной в полном объеме возвращены в областной бюджет остатки межбюджетных трансфертов, неиспользованные на 01.01.2019.</w:t>
      </w:r>
    </w:p>
    <w:p w:rsidR="00D51CA3" w:rsidRPr="0061759E" w:rsidRDefault="00D51CA3" w:rsidP="00D51CA3">
      <w:pPr>
        <w:spacing w:after="0" w:line="240" w:lineRule="auto"/>
        <w:ind w:firstLine="708"/>
        <w:jc w:val="both"/>
        <w:rPr>
          <w:rFonts w:ascii="Times New Roman" w:eastAsia="Calibri" w:hAnsi="Times New Roman"/>
          <w:sz w:val="16"/>
          <w:szCs w:val="16"/>
          <w:lang w:eastAsia="en-US"/>
        </w:rPr>
      </w:pPr>
    </w:p>
    <w:p w:rsidR="00D63953" w:rsidRDefault="00D63953" w:rsidP="000C0E65">
      <w:pPr>
        <w:suppressAutoHyphens/>
        <w:spacing w:after="0" w:line="240" w:lineRule="auto"/>
        <w:ind w:firstLine="709"/>
        <w:jc w:val="center"/>
        <w:rPr>
          <w:rFonts w:ascii="Times New Roman" w:eastAsia="Calibri" w:hAnsi="Times New Roman"/>
          <w:b/>
          <w:sz w:val="16"/>
          <w:szCs w:val="16"/>
          <w:lang w:eastAsia="x-none"/>
        </w:rPr>
      </w:pPr>
      <w:r>
        <w:rPr>
          <w:rFonts w:ascii="Times New Roman" w:eastAsia="Calibri" w:hAnsi="Times New Roman"/>
          <w:b/>
          <w:sz w:val="26"/>
          <w:szCs w:val="26"/>
          <w:lang w:eastAsia="x-none"/>
        </w:rPr>
        <w:t xml:space="preserve">3. </w:t>
      </w:r>
      <w:r w:rsidRPr="00EB2C29">
        <w:rPr>
          <w:rFonts w:ascii="Times New Roman" w:eastAsia="Calibri" w:hAnsi="Times New Roman"/>
          <w:b/>
          <w:sz w:val="26"/>
          <w:szCs w:val="26"/>
          <w:lang w:eastAsia="x-none"/>
        </w:rPr>
        <w:t>Экспертизы государственных программ Мурманской области</w:t>
      </w:r>
    </w:p>
    <w:p w:rsidR="008C403F" w:rsidRPr="008C403F" w:rsidRDefault="008C403F" w:rsidP="000C0E65">
      <w:pPr>
        <w:suppressAutoHyphens/>
        <w:spacing w:after="0" w:line="240" w:lineRule="auto"/>
        <w:ind w:firstLine="709"/>
        <w:jc w:val="center"/>
        <w:rPr>
          <w:rFonts w:ascii="Times New Roman" w:eastAsia="Calibri" w:hAnsi="Times New Roman"/>
          <w:b/>
          <w:sz w:val="16"/>
          <w:szCs w:val="16"/>
          <w:lang w:eastAsia="x-none"/>
        </w:rPr>
      </w:pPr>
    </w:p>
    <w:p w:rsidR="00D63953" w:rsidRPr="00EB2C29" w:rsidRDefault="00D63953" w:rsidP="00D63953">
      <w:pPr>
        <w:suppressAutoHyphens/>
        <w:spacing w:after="0" w:line="240" w:lineRule="auto"/>
        <w:ind w:firstLine="709"/>
        <w:jc w:val="both"/>
        <w:rPr>
          <w:rFonts w:ascii="Times New Roman" w:eastAsia="Calibri" w:hAnsi="Times New Roman"/>
          <w:sz w:val="26"/>
          <w:szCs w:val="26"/>
          <w:lang w:eastAsia="x-none"/>
        </w:rPr>
      </w:pPr>
      <w:r w:rsidRPr="00EB2C29">
        <w:rPr>
          <w:rFonts w:ascii="Times New Roman" w:eastAsia="Calibri" w:hAnsi="Times New Roman"/>
          <w:sz w:val="26"/>
          <w:szCs w:val="26"/>
          <w:lang w:eastAsia="x-none"/>
        </w:rPr>
        <w:t>В 2019 году проведены экспертизы трех государственных программ Мурманской области:</w:t>
      </w:r>
    </w:p>
    <w:p w:rsidR="00D63953" w:rsidRPr="00CD4D7C" w:rsidRDefault="00D63953" w:rsidP="00D63953">
      <w:pPr>
        <w:suppressAutoHyphens/>
        <w:spacing w:after="0" w:line="240" w:lineRule="auto"/>
        <w:ind w:firstLine="709"/>
        <w:jc w:val="both"/>
        <w:rPr>
          <w:rFonts w:ascii="Times New Roman" w:eastAsia="Calibri" w:hAnsi="Times New Roman"/>
          <w:bCs/>
          <w:sz w:val="26"/>
          <w:szCs w:val="26"/>
          <w:lang w:eastAsia="x-none"/>
        </w:rPr>
      </w:pPr>
      <w:r w:rsidRPr="00CD4D7C">
        <w:rPr>
          <w:rFonts w:ascii="Times New Roman" w:eastAsia="Calibri" w:hAnsi="Times New Roman"/>
          <w:bCs/>
          <w:sz w:val="26"/>
          <w:szCs w:val="26"/>
          <w:lang w:eastAsia="x-none"/>
        </w:rPr>
        <w:t>• «</w:t>
      </w:r>
      <w:r w:rsidRPr="00CD4D7C">
        <w:rPr>
          <w:rFonts w:ascii="Times New Roman" w:hAnsi="Times New Roman"/>
          <w:bCs/>
          <w:sz w:val="26"/>
          <w:szCs w:val="26"/>
          <w:lang w:eastAsia="x-none"/>
        </w:rPr>
        <w:t>Государственное управление и гражданское общество</w:t>
      </w:r>
      <w:r w:rsidRPr="00CD4D7C">
        <w:rPr>
          <w:rFonts w:ascii="Times New Roman" w:eastAsia="Calibri" w:hAnsi="Times New Roman"/>
          <w:bCs/>
          <w:sz w:val="26"/>
          <w:szCs w:val="26"/>
          <w:lang w:eastAsia="x-none"/>
        </w:rPr>
        <w:t>»;</w:t>
      </w:r>
    </w:p>
    <w:p w:rsidR="00D63953" w:rsidRPr="00CD4D7C" w:rsidRDefault="00D63953" w:rsidP="00D63953">
      <w:pPr>
        <w:suppressAutoHyphens/>
        <w:spacing w:after="0" w:line="240" w:lineRule="auto"/>
        <w:ind w:firstLine="709"/>
        <w:jc w:val="both"/>
        <w:rPr>
          <w:rFonts w:ascii="Times New Roman" w:eastAsia="Calibri" w:hAnsi="Times New Roman"/>
          <w:bCs/>
          <w:sz w:val="26"/>
          <w:szCs w:val="26"/>
          <w:lang w:eastAsia="x-none"/>
        </w:rPr>
      </w:pPr>
      <w:r w:rsidRPr="00CD4D7C">
        <w:rPr>
          <w:rFonts w:ascii="Times New Roman" w:eastAsia="Calibri" w:hAnsi="Times New Roman"/>
          <w:bCs/>
          <w:sz w:val="26"/>
          <w:szCs w:val="26"/>
          <w:lang w:eastAsia="x-none"/>
        </w:rPr>
        <w:t>• «</w:t>
      </w:r>
      <w:r w:rsidRPr="00CD4D7C">
        <w:rPr>
          <w:rFonts w:ascii="Times New Roman" w:hAnsi="Times New Roman"/>
          <w:bCs/>
          <w:sz w:val="26"/>
          <w:szCs w:val="26"/>
          <w:lang w:eastAsia="x-none"/>
        </w:rPr>
        <w:t>Развитие культуры и сохранение культурного наследия региона</w:t>
      </w:r>
      <w:r w:rsidRPr="00CD4D7C">
        <w:rPr>
          <w:rFonts w:ascii="Times New Roman" w:eastAsia="Calibri" w:hAnsi="Times New Roman"/>
          <w:bCs/>
          <w:sz w:val="26"/>
          <w:szCs w:val="26"/>
          <w:lang w:eastAsia="x-none"/>
        </w:rPr>
        <w:t>»;</w:t>
      </w:r>
    </w:p>
    <w:p w:rsidR="00D63953" w:rsidRPr="00CD4D7C" w:rsidRDefault="00D63953" w:rsidP="00D63953">
      <w:pPr>
        <w:suppressAutoHyphens/>
        <w:spacing w:after="0" w:line="240" w:lineRule="auto"/>
        <w:ind w:firstLine="709"/>
        <w:jc w:val="both"/>
        <w:rPr>
          <w:rFonts w:ascii="Times New Roman" w:eastAsia="Calibri" w:hAnsi="Times New Roman"/>
          <w:bCs/>
          <w:sz w:val="26"/>
          <w:szCs w:val="26"/>
          <w:lang w:eastAsia="x-none"/>
        </w:rPr>
      </w:pPr>
      <w:r w:rsidRPr="00CD4D7C">
        <w:rPr>
          <w:rFonts w:ascii="Times New Roman" w:eastAsia="Calibri" w:hAnsi="Times New Roman"/>
          <w:bCs/>
          <w:sz w:val="26"/>
          <w:szCs w:val="26"/>
          <w:lang w:eastAsia="x-none"/>
        </w:rPr>
        <w:t>• «</w:t>
      </w:r>
      <w:r w:rsidRPr="00CD4D7C">
        <w:rPr>
          <w:rFonts w:ascii="Times New Roman" w:hAnsi="Times New Roman"/>
          <w:bCs/>
          <w:sz w:val="26"/>
          <w:szCs w:val="26"/>
          <w:lang w:eastAsia="x-none"/>
        </w:rPr>
        <w:t>Развитие рыбного и сельского хозяйства, регулирование рынков сельскохозяйственной продукции, сырья и продовольствия</w:t>
      </w:r>
      <w:r w:rsidRPr="00CD4D7C">
        <w:rPr>
          <w:rFonts w:ascii="Times New Roman" w:eastAsia="Calibri" w:hAnsi="Times New Roman"/>
          <w:bCs/>
          <w:sz w:val="26"/>
          <w:szCs w:val="26"/>
          <w:lang w:eastAsia="x-none"/>
        </w:rPr>
        <w:t>».</w:t>
      </w:r>
    </w:p>
    <w:p w:rsidR="00D63953" w:rsidRPr="000D1446" w:rsidRDefault="00D63953" w:rsidP="00D63953">
      <w:pPr>
        <w:suppressAutoHyphens/>
        <w:spacing w:after="0" w:line="240" w:lineRule="auto"/>
        <w:ind w:firstLine="709"/>
        <w:jc w:val="both"/>
        <w:rPr>
          <w:rFonts w:ascii="Times New Roman" w:eastAsia="Calibri" w:hAnsi="Times New Roman"/>
          <w:sz w:val="26"/>
          <w:szCs w:val="26"/>
          <w:lang w:eastAsia="x-none"/>
        </w:rPr>
      </w:pPr>
      <w:r w:rsidRPr="000D1446">
        <w:rPr>
          <w:rFonts w:ascii="Times New Roman" w:eastAsia="Calibri" w:hAnsi="Times New Roman"/>
          <w:sz w:val="26"/>
          <w:szCs w:val="26"/>
          <w:lang w:eastAsia="x-none"/>
        </w:rPr>
        <w:lastRenderedPageBreak/>
        <w:t>По результатам проведенных экспертиз установлено, что государственные программы Мурманской области разработаны и утверждены в целях реализации действующих полномочий органов государственной власти субъекта Российской Федерации и отражают основные приоритеты государственной политики в соответствующих сферах.</w:t>
      </w:r>
    </w:p>
    <w:p w:rsidR="00D63953" w:rsidRPr="000D1446" w:rsidRDefault="00D63953" w:rsidP="00D63953">
      <w:pPr>
        <w:suppressAutoHyphens/>
        <w:spacing w:after="0" w:line="240" w:lineRule="auto"/>
        <w:ind w:firstLine="709"/>
        <w:jc w:val="both"/>
        <w:rPr>
          <w:rFonts w:ascii="Times New Roman" w:eastAsia="Calibri" w:hAnsi="Times New Roman"/>
          <w:sz w:val="26"/>
          <w:szCs w:val="26"/>
          <w:lang w:eastAsia="x-none"/>
        </w:rPr>
      </w:pPr>
      <w:r w:rsidRPr="000D1446">
        <w:rPr>
          <w:rFonts w:ascii="Times New Roman" w:eastAsia="Calibri" w:hAnsi="Times New Roman"/>
          <w:sz w:val="26"/>
          <w:szCs w:val="26"/>
          <w:lang w:eastAsia="x-none"/>
        </w:rPr>
        <w:t xml:space="preserve">Цели и состав задач государственных программ в целом соответствуют задачам и целям, изложенным в Стратегии социально-экономического развития Мурманской области до 2020 года и на период до 2025 года, утвержденной постановлением Правительства Мурманской области от 25.12.2013 № 768-ПП/20 (с изменениями). </w:t>
      </w:r>
    </w:p>
    <w:p w:rsidR="00D63953" w:rsidRPr="000D1446" w:rsidRDefault="00D63953" w:rsidP="00D63953">
      <w:pPr>
        <w:suppressAutoHyphens/>
        <w:spacing w:after="0" w:line="240" w:lineRule="auto"/>
        <w:ind w:firstLine="709"/>
        <w:jc w:val="both"/>
        <w:rPr>
          <w:rFonts w:ascii="Times New Roman" w:hAnsi="Times New Roman"/>
          <w:sz w:val="26"/>
          <w:szCs w:val="26"/>
          <w:lang w:eastAsia="x-none"/>
        </w:rPr>
      </w:pPr>
      <w:r w:rsidRPr="000D1446">
        <w:rPr>
          <w:rFonts w:ascii="Times New Roman" w:eastAsia="Calibri" w:hAnsi="Times New Roman"/>
          <w:sz w:val="26"/>
          <w:szCs w:val="26"/>
          <w:lang w:eastAsia="x-none"/>
        </w:rPr>
        <w:t>Показатели государственных программ и их подпрограмм отражают проблемы и задачи, на решение которых направлена реализация их мероприятий. При этом установлено, что: отдельные показатели государственных программ не соответствуют показателям, определенным Стратегией социально-экономического развития Мурманской области по наименованию, либо по величине (количественной или относительной); направленность ряда показателей государственных программ не характеризует прогресс в достижении установленных целей.</w:t>
      </w:r>
    </w:p>
    <w:p w:rsidR="00D63953" w:rsidRPr="000D1446" w:rsidRDefault="00D63953" w:rsidP="00D63953">
      <w:pPr>
        <w:suppressAutoHyphens/>
        <w:spacing w:after="0" w:line="240" w:lineRule="auto"/>
        <w:ind w:firstLine="709"/>
        <w:jc w:val="both"/>
        <w:rPr>
          <w:rFonts w:ascii="Times New Roman" w:eastAsia="Calibri" w:hAnsi="Times New Roman"/>
          <w:sz w:val="26"/>
          <w:szCs w:val="26"/>
          <w:lang w:eastAsia="x-none"/>
        </w:rPr>
      </w:pPr>
      <w:r w:rsidRPr="000D1446">
        <w:rPr>
          <w:rFonts w:ascii="Times New Roman" w:eastAsia="Calibri" w:hAnsi="Times New Roman"/>
          <w:sz w:val="26"/>
          <w:szCs w:val="26"/>
          <w:lang w:eastAsia="x-none"/>
        </w:rPr>
        <w:t>Содержание и структура государственных программ в целом соответствуют требованиям Порядка разработки, реализации и оценки эффективности государственных программ Мурманской области, утвержденного постановлением Правительства Мурманской области от 03.07.2013 № 369-ПП (с изменениями, далее – Порядок разработки программ).</w:t>
      </w:r>
    </w:p>
    <w:p w:rsidR="00D63953" w:rsidRPr="000D1446" w:rsidRDefault="00D63953" w:rsidP="00D63953">
      <w:pPr>
        <w:suppressAutoHyphens/>
        <w:spacing w:after="0" w:line="240" w:lineRule="auto"/>
        <w:ind w:firstLine="709"/>
        <w:jc w:val="both"/>
        <w:rPr>
          <w:rFonts w:ascii="Times New Roman" w:eastAsia="Calibri" w:hAnsi="Times New Roman"/>
          <w:sz w:val="26"/>
          <w:szCs w:val="26"/>
          <w:lang w:eastAsia="x-none"/>
        </w:rPr>
      </w:pPr>
      <w:r w:rsidRPr="000D1446">
        <w:rPr>
          <w:rFonts w:ascii="Times New Roman" w:eastAsia="Calibri" w:hAnsi="Times New Roman"/>
          <w:sz w:val="26"/>
          <w:szCs w:val="26"/>
          <w:lang w:eastAsia="x-none"/>
        </w:rPr>
        <w:t>В тоже время в каждой государственной программе выявлены отдельные нарушения Порядка разработки программ, информация о наличии которых с предложениями принять меры по их устранению путем внесения соответствующих изменений направлены в Правительство Мурманской области.</w:t>
      </w:r>
    </w:p>
    <w:p w:rsidR="00D63953" w:rsidRPr="000D1446" w:rsidRDefault="00D63953" w:rsidP="00D63953">
      <w:pPr>
        <w:suppressAutoHyphens/>
        <w:spacing w:after="0" w:line="240" w:lineRule="auto"/>
        <w:ind w:firstLine="709"/>
        <w:jc w:val="both"/>
        <w:rPr>
          <w:rFonts w:ascii="Times New Roman" w:eastAsia="Calibri" w:hAnsi="Times New Roman"/>
          <w:sz w:val="26"/>
          <w:szCs w:val="26"/>
          <w:lang w:eastAsia="x-none"/>
        </w:rPr>
      </w:pPr>
      <w:r w:rsidRPr="000D1446">
        <w:rPr>
          <w:rFonts w:ascii="Times New Roman" w:eastAsia="Calibri" w:hAnsi="Times New Roman"/>
          <w:sz w:val="26"/>
          <w:szCs w:val="26"/>
          <w:lang w:eastAsia="x-none"/>
        </w:rPr>
        <w:t>В ходе анализа отчетов о реализации и оценке эффективности государственных программ установлено, что: имеются риски недостижения ожидаемых результатов реализации государственных программ в связи с низкой степенью освоения бюджетных средств; основными рисками реализации ряда мероприятий являются недостаточный объем финансирования, несвоевременное исполнение проектировщиком либо поставщиком (подрядчиком) своих обязательств, позднее проведение процедуры выбора поставщика (подрядчика).</w:t>
      </w:r>
    </w:p>
    <w:p w:rsidR="00D63953" w:rsidRDefault="00D63953" w:rsidP="00D63953">
      <w:pPr>
        <w:tabs>
          <w:tab w:val="left" w:pos="284"/>
        </w:tabs>
        <w:suppressAutoHyphens/>
        <w:spacing w:after="0" w:line="240" w:lineRule="auto"/>
        <w:ind w:firstLine="709"/>
        <w:jc w:val="both"/>
        <w:rPr>
          <w:rFonts w:ascii="Times New Roman" w:hAnsi="Times New Roman"/>
          <w:sz w:val="26"/>
          <w:szCs w:val="26"/>
          <w:lang w:eastAsia="x-none"/>
        </w:rPr>
      </w:pPr>
    </w:p>
    <w:p w:rsidR="0076358D" w:rsidRPr="00226095" w:rsidRDefault="00D63953" w:rsidP="00E01ADF">
      <w:pPr>
        <w:spacing w:after="0" w:line="240" w:lineRule="auto"/>
        <w:ind w:firstLine="708"/>
        <w:jc w:val="center"/>
        <w:rPr>
          <w:rFonts w:ascii="Times New Roman" w:eastAsia="Calibri" w:hAnsi="Times New Roman"/>
          <w:b/>
          <w:sz w:val="26"/>
          <w:szCs w:val="26"/>
          <w:lang w:eastAsia="en-US"/>
        </w:rPr>
      </w:pPr>
      <w:r>
        <w:rPr>
          <w:rFonts w:ascii="Times New Roman" w:eastAsia="Calibri" w:hAnsi="Times New Roman"/>
          <w:b/>
          <w:sz w:val="26"/>
          <w:szCs w:val="26"/>
          <w:lang w:eastAsia="en-US"/>
        </w:rPr>
        <w:t>4</w:t>
      </w:r>
      <w:r w:rsidR="0076358D" w:rsidRPr="00226095">
        <w:rPr>
          <w:rFonts w:ascii="Times New Roman" w:eastAsia="Calibri" w:hAnsi="Times New Roman"/>
          <w:b/>
          <w:sz w:val="26"/>
          <w:szCs w:val="26"/>
          <w:lang w:eastAsia="en-US"/>
        </w:rPr>
        <w:t xml:space="preserve">. Тематические </w:t>
      </w:r>
      <w:r w:rsidR="002834E1" w:rsidRPr="00226095">
        <w:rPr>
          <w:rFonts w:ascii="Times New Roman" w:eastAsia="Calibri" w:hAnsi="Times New Roman"/>
          <w:b/>
          <w:sz w:val="26"/>
          <w:szCs w:val="26"/>
          <w:lang w:eastAsia="en-US"/>
        </w:rPr>
        <w:t xml:space="preserve">экспертно-аналитические </w:t>
      </w:r>
      <w:r w:rsidR="0076358D" w:rsidRPr="00226095">
        <w:rPr>
          <w:rFonts w:ascii="Times New Roman" w:eastAsia="Calibri" w:hAnsi="Times New Roman"/>
          <w:b/>
          <w:sz w:val="26"/>
          <w:szCs w:val="26"/>
          <w:lang w:eastAsia="en-US"/>
        </w:rPr>
        <w:t>мероприятия</w:t>
      </w:r>
    </w:p>
    <w:p w:rsidR="00221012" w:rsidRPr="00226095" w:rsidRDefault="00221012" w:rsidP="002C49D3">
      <w:pPr>
        <w:pStyle w:val="a7"/>
        <w:spacing w:after="0" w:line="120" w:lineRule="auto"/>
        <w:ind w:left="0" w:firstLine="709"/>
        <w:jc w:val="both"/>
        <w:rPr>
          <w:rFonts w:ascii="Times New Roman" w:hAnsi="Times New Roman"/>
          <w:b/>
          <w:sz w:val="26"/>
          <w:szCs w:val="26"/>
        </w:rPr>
      </w:pPr>
    </w:p>
    <w:p w:rsidR="00990927" w:rsidRPr="002448B8" w:rsidRDefault="00D63953" w:rsidP="006244EB">
      <w:pPr>
        <w:spacing w:after="0" w:line="240" w:lineRule="auto"/>
        <w:ind w:firstLine="708"/>
        <w:contextualSpacing/>
        <w:jc w:val="both"/>
        <w:rPr>
          <w:rFonts w:ascii="Times New Roman" w:eastAsia="Calibri" w:hAnsi="Times New Roman"/>
          <w:sz w:val="26"/>
          <w:szCs w:val="26"/>
          <w:lang w:eastAsia="en-US"/>
        </w:rPr>
      </w:pPr>
      <w:r>
        <w:rPr>
          <w:rFonts w:ascii="Times New Roman" w:eastAsia="Calibri" w:hAnsi="Times New Roman"/>
          <w:b/>
          <w:sz w:val="26"/>
          <w:szCs w:val="26"/>
          <w:lang w:eastAsia="en-US"/>
        </w:rPr>
        <w:t>4</w:t>
      </w:r>
      <w:r w:rsidR="0076358D" w:rsidRPr="00226095">
        <w:rPr>
          <w:rFonts w:ascii="Times New Roman" w:eastAsia="Calibri" w:hAnsi="Times New Roman"/>
          <w:b/>
          <w:sz w:val="26"/>
          <w:szCs w:val="26"/>
          <w:lang w:eastAsia="en-US"/>
        </w:rPr>
        <w:t>.1</w:t>
      </w:r>
      <w:r w:rsidR="00EA6336" w:rsidRPr="00226095">
        <w:rPr>
          <w:rFonts w:ascii="Times New Roman" w:eastAsia="Calibri" w:hAnsi="Times New Roman"/>
          <w:b/>
          <w:sz w:val="26"/>
          <w:szCs w:val="26"/>
          <w:lang w:eastAsia="en-US"/>
        </w:rPr>
        <w:t xml:space="preserve">. </w:t>
      </w:r>
      <w:r w:rsidR="00DE4C10" w:rsidRPr="00226095">
        <w:rPr>
          <w:rFonts w:ascii="Times New Roman" w:eastAsia="Calibri" w:hAnsi="Times New Roman"/>
          <w:sz w:val="26"/>
          <w:szCs w:val="26"/>
          <w:lang w:eastAsia="en-US"/>
        </w:rPr>
        <w:t>По результатам</w:t>
      </w:r>
      <w:r w:rsidR="00DE4C10" w:rsidRPr="00226095">
        <w:rPr>
          <w:rFonts w:ascii="Times New Roman" w:eastAsia="Calibri" w:hAnsi="Times New Roman"/>
          <w:b/>
          <w:sz w:val="26"/>
          <w:szCs w:val="26"/>
          <w:lang w:eastAsia="en-US"/>
        </w:rPr>
        <w:t xml:space="preserve"> </w:t>
      </w:r>
      <w:r w:rsidR="00B46FB9" w:rsidRPr="00226095">
        <w:rPr>
          <w:rFonts w:ascii="Times New Roman" w:eastAsia="Calibri" w:hAnsi="Times New Roman"/>
          <w:b/>
          <w:sz w:val="26"/>
          <w:szCs w:val="26"/>
          <w:lang w:eastAsia="en-US"/>
        </w:rPr>
        <w:t>анализа эффективности управления и распоряжения земельными участками, находящимися в государственной собственности Мурманской области, в том числе их предоставления в безвозмездное пользование, в 2017 и 2018 годах и истекшем периоде 2019 года</w:t>
      </w:r>
      <w:r w:rsidR="00DE4C10" w:rsidRPr="00226095">
        <w:rPr>
          <w:rFonts w:ascii="Times New Roman" w:eastAsia="Calibri" w:hAnsi="Times New Roman"/>
          <w:b/>
          <w:sz w:val="26"/>
          <w:szCs w:val="26"/>
          <w:lang w:eastAsia="en-US"/>
        </w:rPr>
        <w:t xml:space="preserve">, </w:t>
      </w:r>
      <w:r w:rsidR="00DE4C10" w:rsidRPr="00226095">
        <w:rPr>
          <w:rFonts w:ascii="Times New Roman" w:eastAsia="Calibri" w:hAnsi="Times New Roman"/>
          <w:sz w:val="26"/>
          <w:szCs w:val="26"/>
          <w:lang w:eastAsia="en-US"/>
        </w:rPr>
        <w:t>установлено следующее</w:t>
      </w:r>
      <w:r w:rsidR="002448B8">
        <w:rPr>
          <w:rFonts w:ascii="Times New Roman" w:eastAsia="Calibri" w:hAnsi="Times New Roman"/>
          <w:sz w:val="26"/>
          <w:szCs w:val="26"/>
          <w:lang w:eastAsia="en-US"/>
        </w:rPr>
        <w:t>.</w:t>
      </w:r>
    </w:p>
    <w:p w:rsidR="00B46FB9" w:rsidRPr="00226095" w:rsidRDefault="00B46FB9" w:rsidP="00B46FB9">
      <w:pPr>
        <w:tabs>
          <w:tab w:val="left" w:pos="284"/>
        </w:tabs>
        <w:suppressAutoHyphens/>
        <w:spacing w:after="0" w:line="240" w:lineRule="auto"/>
        <w:ind w:firstLine="709"/>
        <w:jc w:val="both"/>
        <w:rPr>
          <w:rFonts w:ascii="Times New Roman" w:hAnsi="Times New Roman"/>
          <w:sz w:val="26"/>
          <w:szCs w:val="26"/>
        </w:rPr>
      </w:pPr>
      <w:r w:rsidRPr="00226095">
        <w:rPr>
          <w:rFonts w:ascii="Times New Roman" w:hAnsi="Times New Roman"/>
          <w:sz w:val="26"/>
          <w:szCs w:val="26"/>
        </w:rPr>
        <w:t>В регионе регламентировано управление и распоряжение земельными участками, находящимися в государственной собственности Мурманской области, основанное на нормативной правовой базе, соответствующей положениям законодательства Российской Федерации и Мурманской области.</w:t>
      </w:r>
    </w:p>
    <w:p w:rsidR="00B46FB9" w:rsidRPr="00226095" w:rsidRDefault="00B46FB9" w:rsidP="00B46FB9">
      <w:pPr>
        <w:tabs>
          <w:tab w:val="left" w:pos="284"/>
        </w:tabs>
        <w:suppressAutoHyphens/>
        <w:spacing w:after="0" w:line="240" w:lineRule="auto"/>
        <w:ind w:firstLine="709"/>
        <w:jc w:val="both"/>
        <w:rPr>
          <w:rFonts w:ascii="Times New Roman" w:hAnsi="Times New Roman"/>
          <w:sz w:val="26"/>
          <w:szCs w:val="26"/>
        </w:rPr>
      </w:pPr>
      <w:r w:rsidRPr="00226095">
        <w:rPr>
          <w:rFonts w:ascii="Times New Roman" w:hAnsi="Times New Roman"/>
          <w:sz w:val="26"/>
          <w:szCs w:val="26"/>
        </w:rPr>
        <w:t>Земельные участки, относящиеся к государственному имуществу Мурманской области, учитываются в Реестре государственного имущества, на основе которого сформирован ряд специализированных реестров. Так, по состоянию на 05.06.2019 в реестре учитывается 939 земельных участков общей площадью 83 242,4 тысячи </w:t>
      </w:r>
      <w:proofErr w:type="spellStart"/>
      <w:proofErr w:type="gramStart"/>
      <w:r w:rsidRPr="00226095">
        <w:rPr>
          <w:rFonts w:ascii="Times New Roman" w:hAnsi="Times New Roman"/>
          <w:sz w:val="26"/>
          <w:szCs w:val="26"/>
        </w:rPr>
        <w:t>кв.м</w:t>
      </w:r>
      <w:proofErr w:type="spellEnd"/>
      <w:proofErr w:type="gramEnd"/>
      <w:r w:rsidRPr="00226095">
        <w:rPr>
          <w:rFonts w:ascii="Times New Roman" w:hAnsi="Times New Roman"/>
          <w:sz w:val="26"/>
          <w:szCs w:val="26"/>
        </w:rPr>
        <w:t xml:space="preserve"> и </w:t>
      </w:r>
      <w:r w:rsidRPr="00226095">
        <w:rPr>
          <w:rFonts w:ascii="Times New Roman" w:hAnsi="Times New Roman"/>
          <w:sz w:val="26"/>
          <w:szCs w:val="26"/>
        </w:rPr>
        <w:lastRenderedPageBreak/>
        <w:t xml:space="preserve">кадастровой стоимостью 24 044,8 млн рублей, из них: 29,0 % переданы в аренду; </w:t>
      </w:r>
      <w:r w:rsidR="009E1B1C" w:rsidRPr="009E1B1C">
        <w:rPr>
          <w:rFonts w:ascii="Times New Roman" w:hAnsi="Times New Roman"/>
          <w:sz w:val="26"/>
          <w:szCs w:val="26"/>
        </w:rPr>
        <w:t xml:space="preserve">        </w:t>
      </w:r>
      <w:r w:rsidRPr="00226095">
        <w:rPr>
          <w:rFonts w:ascii="Times New Roman" w:hAnsi="Times New Roman"/>
          <w:sz w:val="26"/>
          <w:szCs w:val="26"/>
        </w:rPr>
        <w:t>62,9 % – в постоянное (бессрочное) пользование; 0,9 % – в безвозмездное пользование.</w:t>
      </w:r>
    </w:p>
    <w:p w:rsidR="00B46FB9" w:rsidRPr="00226095" w:rsidRDefault="00B46FB9" w:rsidP="00B46FB9">
      <w:pPr>
        <w:tabs>
          <w:tab w:val="left" w:pos="284"/>
        </w:tabs>
        <w:suppressAutoHyphens/>
        <w:spacing w:after="0" w:line="240" w:lineRule="auto"/>
        <w:ind w:firstLine="709"/>
        <w:jc w:val="both"/>
        <w:rPr>
          <w:rFonts w:ascii="Times New Roman" w:hAnsi="Times New Roman"/>
          <w:sz w:val="26"/>
          <w:szCs w:val="26"/>
        </w:rPr>
      </w:pPr>
      <w:r w:rsidRPr="00226095">
        <w:rPr>
          <w:rFonts w:ascii="Times New Roman" w:hAnsi="Times New Roman"/>
          <w:sz w:val="26"/>
          <w:szCs w:val="26"/>
        </w:rPr>
        <w:t>В исследуемом периоде земельные участки, находящиеся в государственной собственности Мурманской области, предоставлялись в аренду, постоянное (бессрочное) пользование и безвозмездное пользование, а также передавались физическим и юридическим лицам в собственность за плату в соответствии с нормами Земельного кодекса РФ и нормативными правовыми актами Мурманской области.</w:t>
      </w:r>
    </w:p>
    <w:p w:rsidR="00B46FB9" w:rsidRPr="00226095" w:rsidRDefault="00B46FB9" w:rsidP="00B46FB9">
      <w:pPr>
        <w:tabs>
          <w:tab w:val="left" w:pos="284"/>
        </w:tabs>
        <w:suppressAutoHyphens/>
        <w:spacing w:after="0" w:line="240" w:lineRule="auto"/>
        <w:ind w:firstLine="709"/>
        <w:jc w:val="both"/>
        <w:rPr>
          <w:rFonts w:ascii="Times New Roman" w:hAnsi="Times New Roman"/>
          <w:sz w:val="26"/>
          <w:szCs w:val="26"/>
        </w:rPr>
      </w:pPr>
      <w:r w:rsidRPr="00226095">
        <w:rPr>
          <w:rFonts w:ascii="Times New Roman" w:hAnsi="Times New Roman"/>
          <w:sz w:val="26"/>
          <w:szCs w:val="26"/>
        </w:rPr>
        <w:t>Поступление доходов областного бюджета, полученных от распоряжения и управления земельными участками, находящимися в государственной собственности Мурманской области, составило: в 2017 году 18 867,6 тыс. рублей; в 2018 году 4 396,6 тыс. рублей; в 1 квартале 2019 года 1 417,4 тыс. рублей, и сложилось из поступлений по 3 видам неналоговых доходов, более 73 % от которых составили доходы от арендной платы за земельные участки. Поступление доходов в 2018 году по сравнению с 2017 годом снизилось на 14 471,0 тыс. рублей</w:t>
      </w:r>
      <w:r w:rsidR="008D005D">
        <w:rPr>
          <w:rFonts w:ascii="Times New Roman" w:hAnsi="Times New Roman"/>
          <w:sz w:val="26"/>
          <w:szCs w:val="26"/>
        </w:rPr>
        <w:t>,</w:t>
      </w:r>
      <w:r w:rsidRPr="00226095">
        <w:rPr>
          <w:rFonts w:ascii="Times New Roman" w:hAnsi="Times New Roman"/>
          <w:sz w:val="26"/>
          <w:szCs w:val="26"/>
        </w:rPr>
        <w:t xml:space="preserve"> или 76,7 процента. Основной причиной сокращения в 2018 году общего объема поступлений явилось уменьшение доходов, полученных в виде арендной платы за земельные участки из-за снижения кадастровой стоимости отдельных земельных участков, произведенное на основании решений комиссии по рассмотрению споров о результатах определения кадастровой стоимости при Управлении Росреестра по Мурманской области. Кроме того, в исследуемом периоде наблюдается постоянный рост задолженности арендаторов по арендной плате за предоставленные в аренду земельные участки. Так, по сравнению с 01.01.2017 (4 858,3 тыс. рублей) задолженность по состоянию на 01.04.2019 (5 323,1 тыс. рублей) увеличилась на 464,8 тыс. рублей</w:t>
      </w:r>
      <w:r w:rsidR="008D005D">
        <w:rPr>
          <w:rFonts w:ascii="Times New Roman" w:hAnsi="Times New Roman"/>
          <w:sz w:val="26"/>
          <w:szCs w:val="26"/>
        </w:rPr>
        <w:t>,</w:t>
      </w:r>
      <w:r w:rsidRPr="00226095">
        <w:rPr>
          <w:rFonts w:ascii="Times New Roman" w:hAnsi="Times New Roman"/>
          <w:sz w:val="26"/>
          <w:szCs w:val="26"/>
        </w:rPr>
        <w:t xml:space="preserve"> или на 9,6 %, из нее более 83 % числится за АО «ТЭКОС» и ГОУП «</w:t>
      </w:r>
      <w:proofErr w:type="spellStart"/>
      <w:r w:rsidRPr="00226095">
        <w:rPr>
          <w:rFonts w:ascii="Times New Roman" w:hAnsi="Times New Roman"/>
          <w:sz w:val="26"/>
          <w:szCs w:val="26"/>
        </w:rPr>
        <w:t>Кандалакшаводоканал</w:t>
      </w:r>
      <w:proofErr w:type="spellEnd"/>
      <w:r w:rsidRPr="00226095">
        <w:rPr>
          <w:rFonts w:ascii="Times New Roman" w:hAnsi="Times New Roman"/>
          <w:sz w:val="26"/>
          <w:szCs w:val="26"/>
        </w:rPr>
        <w:t>».</w:t>
      </w:r>
    </w:p>
    <w:p w:rsidR="00B46FB9" w:rsidRPr="00226095" w:rsidRDefault="00B46FB9" w:rsidP="00B46FB9">
      <w:pPr>
        <w:tabs>
          <w:tab w:val="left" w:pos="284"/>
        </w:tabs>
        <w:suppressAutoHyphens/>
        <w:spacing w:after="0" w:line="240" w:lineRule="auto"/>
        <w:ind w:firstLine="709"/>
        <w:jc w:val="both"/>
        <w:rPr>
          <w:rFonts w:ascii="Times New Roman" w:hAnsi="Times New Roman"/>
          <w:sz w:val="26"/>
          <w:szCs w:val="26"/>
        </w:rPr>
      </w:pPr>
      <w:r w:rsidRPr="00226095">
        <w:rPr>
          <w:rFonts w:ascii="Times New Roman" w:hAnsi="Times New Roman"/>
          <w:sz w:val="26"/>
          <w:szCs w:val="26"/>
        </w:rPr>
        <w:t>В исследуемом периоде управление и распоряжение земельными участками, находящимися в государственной собственности Мурманской области в целом осуществлялось в соответствии с принципом законности с учетом обеспечения их эффективного использования, как это определено пунктами 1 и 3 статьи 2 Закона Мурманской области от 9 ноября 2001 года № 303-01-ЗМО «Об управлении государственной собственностью Мурманской области», но с отдельными нарушениями и недостатками, из них:</w:t>
      </w:r>
    </w:p>
    <w:p w:rsidR="00B46FB9" w:rsidRPr="00226095" w:rsidRDefault="00D9710E" w:rsidP="00B46FB9">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46FB9" w:rsidRPr="00226095">
        <w:rPr>
          <w:rFonts w:ascii="Times New Roman" w:hAnsi="Times New Roman"/>
          <w:sz w:val="26"/>
          <w:szCs w:val="26"/>
        </w:rPr>
        <w:t xml:space="preserve"> Министерством имущественных отношений Мурманской области ненадлежащим образом реализуются бюджетные полномочия администратора доходов областного бюджета, установленные пунктом 2 статьи 160.1 Бюджетного кодекса РФ, что выразилось в нарушениях структурными подразделениями министерства требований пунктов 4.3-4.5 раздела II Административного регламента Министерства имущественных отношений Мурманской области по исполнению государственной функции «Администрирование неналоговых платежей», утвержденного постановлением Правительства Мурманской области от 6 марта 2008 года № 90-ПП по несоблюдению сроков составления претензий, передачи документов для подготовки и направлению исковых заявлений в судебные органы. Таким образом, министерством не обеспечивалась своевременная организация претензионно-исковой работы</w:t>
      </w:r>
      <w:r>
        <w:rPr>
          <w:rFonts w:ascii="Times New Roman" w:hAnsi="Times New Roman"/>
          <w:sz w:val="26"/>
          <w:szCs w:val="26"/>
        </w:rPr>
        <w:t>;</w:t>
      </w:r>
    </w:p>
    <w:p w:rsidR="00B46FB9" w:rsidRPr="00226095" w:rsidRDefault="00D9710E" w:rsidP="00B46FB9">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46FB9" w:rsidRPr="00226095">
        <w:rPr>
          <w:rFonts w:ascii="Times New Roman" w:hAnsi="Times New Roman"/>
          <w:sz w:val="26"/>
          <w:szCs w:val="26"/>
        </w:rPr>
        <w:t xml:space="preserve"> </w:t>
      </w:r>
      <w:r>
        <w:rPr>
          <w:rFonts w:ascii="Times New Roman" w:hAnsi="Times New Roman"/>
          <w:sz w:val="26"/>
          <w:szCs w:val="26"/>
        </w:rPr>
        <w:t>в</w:t>
      </w:r>
      <w:r w:rsidR="00B46FB9" w:rsidRPr="00226095">
        <w:rPr>
          <w:rFonts w:ascii="Times New Roman" w:hAnsi="Times New Roman"/>
          <w:sz w:val="26"/>
          <w:szCs w:val="26"/>
        </w:rPr>
        <w:t xml:space="preserve"> результате выборочной сверки данных о земельных участках установлены расхождения по 11 земельным участкам 6 землепользователей, выразившиеся в несоответствии кадастровой стоимости земельных участков, а также площадей земельных участков, что не согласуется с пунктом 3.16 «Положения об учете государственного имущества», утвержденного постановлением Правительства Мурманской области от 11 июня 2010 года № 266-ПП, в соответствии с которым </w:t>
      </w:r>
      <w:r w:rsidR="00B46FB9" w:rsidRPr="00226095">
        <w:rPr>
          <w:rFonts w:ascii="Times New Roman" w:hAnsi="Times New Roman"/>
          <w:sz w:val="26"/>
          <w:szCs w:val="26"/>
        </w:rPr>
        <w:lastRenderedPageBreak/>
        <w:t>Министерство имущественных отношений Мурманской области осуществляет контроль полноты и достоверности таких данных. Кроме того, в двух случаях министерством не обеспечен надлежащий уровень контроля за соблюдением договорных отношений с ссудополучателями, что свидетельствует о недостоверности данных, содержащихся в Реестре государственного имущества в части обременения имущества</w:t>
      </w:r>
      <w:r>
        <w:rPr>
          <w:rFonts w:ascii="Times New Roman" w:hAnsi="Times New Roman"/>
          <w:sz w:val="26"/>
          <w:szCs w:val="26"/>
        </w:rPr>
        <w:t>;</w:t>
      </w:r>
    </w:p>
    <w:p w:rsidR="00B46FB9" w:rsidRPr="00226095" w:rsidRDefault="00D9710E" w:rsidP="00B46FB9">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46FB9" w:rsidRPr="00226095">
        <w:rPr>
          <w:rFonts w:ascii="Times New Roman" w:hAnsi="Times New Roman"/>
          <w:sz w:val="26"/>
          <w:szCs w:val="26"/>
        </w:rPr>
        <w:t xml:space="preserve"> Министерством имущественных отношений Мурманской области допущено нарушение требований к бюджетному учету, повлекшее представление годовой бюджетной отчетности за 2018 год, содержащей грубое искажение показателей в форме 0503169 «Сведения по дебиторской и кредиторской задолженности», что содержит признаки административного правонарушения.</w:t>
      </w:r>
    </w:p>
    <w:p w:rsidR="00B46FB9" w:rsidRPr="00D9710E" w:rsidRDefault="00B46FB9" w:rsidP="006244EB">
      <w:pPr>
        <w:tabs>
          <w:tab w:val="left" w:pos="284"/>
        </w:tabs>
        <w:suppressAutoHyphens/>
        <w:spacing w:after="0" w:line="240" w:lineRule="auto"/>
        <w:ind w:firstLine="709"/>
        <w:jc w:val="both"/>
        <w:rPr>
          <w:rFonts w:ascii="Times New Roman" w:hAnsi="Times New Roman"/>
          <w:sz w:val="16"/>
          <w:szCs w:val="16"/>
          <w:lang w:eastAsia="x-none"/>
        </w:rPr>
      </w:pPr>
    </w:p>
    <w:p w:rsidR="00B46FB9" w:rsidRPr="00226095" w:rsidRDefault="00D63953" w:rsidP="00B46FB9">
      <w:pPr>
        <w:spacing w:after="0" w:line="240" w:lineRule="auto"/>
        <w:ind w:firstLine="708"/>
        <w:contextualSpacing/>
        <w:jc w:val="both"/>
        <w:rPr>
          <w:rFonts w:ascii="Times New Roman" w:eastAsia="Calibri" w:hAnsi="Times New Roman"/>
          <w:sz w:val="26"/>
          <w:szCs w:val="26"/>
          <w:lang w:eastAsia="en-US"/>
        </w:rPr>
      </w:pPr>
      <w:r>
        <w:rPr>
          <w:rFonts w:ascii="Times New Roman" w:eastAsia="Calibri" w:hAnsi="Times New Roman"/>
          <w:b/>
          <w:sz w:val="26"/>
          <w:szCs w:val="26"/>
          <w:lang w:eastAsia="en-US"/>
        </w:rPr>
        <w:t>4</w:t>
      </w:r>
      <w:r w:rsidR="00B46FB9" w:rsidRPr="00226095">
        <w:rPr>
          <w:rFonts w:ascii="Times New Roman" w:eastAsia="Calibri" w:hAnsi="Times New Roman"/>
          <w:b/>
          <w:sz w:val="26"/>
          <w:szCs w:val="26"/>
          <w:lang w:eastAsia="en-US"/>
        </w:rPr>
        <w:t>.</w:t>
      </w:r>
      <w:r w:rsidR="00EB2C29">
        <w:rPr>
          <w:rFonts w:ascii="Times New Roman" w:eastAsia="Calibri" w:hAnsi="Times New Roman"/>
          <w:b/>
          <w:sz w:val="26"/>
          <w:szCs w:val="26"/>
          <w:lang w:eastAsia="en-US"/>
        </w:rPr>
        <w:t>2</w:t>
      </w:r>
      <w:r w:rsidR="00B46FB9" w:rsidRPr="00226095">
        <w:rPr>
          <w:rFonts w:ascii="Times New Roman" w:eastAsia="Calibri" w:hAnsi="Times New Roman"/>
          <w:b/>
          <w:sz w:val="26"/>
          <w:szCs w:val="26"/>
          <w:lang w:eastAsia="en-US"/>
        </w:rPr>
        <w:t xml:space="preserve">. </w:t>
      </w:r>
      <w:r w:rsidR="00B46FB9" w:rsidRPr="00226095">
        <w:rPr>
          <w:rFonts w:ascii="Times New Roman" w:eastAsia="Calibri" w:hAnsi="Times New Roman"/>
          <w:sz w:val="26"/>
          <w:szCs w:val="26"/>
          <w:lang w:eastAsia="en-US"/>
        </w:rPr>
        <w:t>По результатам</w:t>
      </w:r>
      <w:r w:rsidR="00B46FB9" w:rsidRPr="00226095">
        <w:rPr>
          <w:rFonts w:ascii="Times New Roman" w:eastAsia="Calibri" w:hAnsi="Times New Roman"/>
          <w:b/>
          <w:sz w:val="26"/>
          <w:szCs w:val="26"/>
          <w:lang w:eastAsia="en-US"/>
        </w:rPr>
        <w:t xml:space="preserve"> анализа порядка управления и распоряжения имуществом, находящимся в государственной собственности Мурманской области, которое относится к объектам жилищного фонда, а также анализ расходов на его содержание за 2017, 2018 годы и текущий период 2019 года, </w:t>
      </w:r>
      <w:r w:rsidR="00B46FB9" w:rsidRPr="00226095">
        <w:rPr>
          <w:rFonts w:ascii="Times New Roman" w:eastAsia="Calibri" w:hAnsi="Times New Roman"/>
          <w:sz w:val="26"/>
          <w:szCs w:val="26"/>
          <w:lang w:eastAsia="en-US"/>
        </w:rPr>
        <w:t>установлено следующее</w:t>
      </w:r>
      <w:r w:rsidR="001D6642">
        <w:rPr>
          <w:rFonts w:ascii="Times New Roman" w:eastAsia="Calibri" w:hAnsi="Times New Roman"/>
          <w:sz w:val="26"/>
          <w:szCs w:val="26"/>
          <w:lang w:eastAsia="en-US"/>
        </w:rPr>
        <w:t>.</w:t>
      </w:r>
    </w:p>
    <w:p w:rsidR="00B46FB9" w:rsidRPr="00226095" w:rsidRDefault="00B46FB9" w:rsidP="00B46FB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 xml:space="preserve">Количество объектов жилищного фонда Мурманской области по состоянию на 01.10.2019 увеличилось по сравнению с 01.01.2017 более чем в 2 раза, их общая площадь сократилась на 7 272,9 </w:t>
      </w:r>
      <w:proofErr w:type="spellStart"/>
      <w:r w:rsidRPr="00226095">
        <w:rPr>
          <w:rFonts w:ascii="Times New Roman" w:hAnsi="Times New Roman"/>
          <w:sz w:val="26"/>
          <w:szCs w:val="26"/>
        </w:rPr>
        <w:t>кв.м</w:t>
      </w:r>
      <w:proofErr w:type="spellEnd"/>
      <w:r w:rsidRPr="00226095">
        <w:rPr>
          <w:rFonts w:ascii="Times New Roman" w:hAnsi="Times New Roman"/>
          <w:sz w:val="26"/>
          <w:szCs w:val="26"/>
        </w:rPr>
        <w:t xml:space="preserve">, первоначальная стоимость – на 219 672,8 тыс. рублей и составило 219 объектов (общей площадью 87 042,1 </w:t>
      </w:r>
      <w:proofErr w:type="spellStart"/>
      <w:r w:rsidRPr="00226095">
        <w:rPr>
          <w:rFonts w:ascii="Times New Roman" w:hAnsi="Times New Roman"/>
          <w:sz w:val="26"/>
          <w:szCs w:val="26"/>
        </w:rPr>
        <w:t>кв.м</w:t>
      </w:r>
      <w:proofErr w:type="spellEnd"/>
      <w:r w:rsidRPr="00226095">
        <w:rPr>
          <w:rFonts w:ascii="Times New Roman" w:hAnsi="Times New Roman"/>
          <w:sz w:val="26"/>
          <w:szCs w:val="26"/>
        </w:rPr>
        <w:t xml:space="preserve"> и первоначальной стоимостью 908 795,9 тыс. рублей) у 41 правообладателя. В составе жилищного фонда наибольший удельный вес по количеству и общей площади объектов приходится на общежития (60,2 % и 59,1 % соответственно).</w:t>
      </w:r>
    </w:p>
    <w:p w:rsidR="00B46FB9" w:rsidRPr="00226095" w:rsidRDefault="00B46FB9" w:rsidP="00B46FB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Расходы на содержание жилищного фонда Мурманской области, произведенные за счет средств областного бюджета в исследуемом периоде составили 240 340,3 тыс. рублей, из них на содержание: общежитий составили 132 516,3 тыс. рублей (55,1 % от общей суммы расходов); зданий и помещений домов-интернатов, школ-интернатов, домов для престарелых, детских домов, относящихся к объектам жилищного фонда, – 102 856,6 тыс. рублей (42,8 %); жилых домов и квартир – 4 967,4 тыс. рублей (2,1 %). Средства областного бюджета на содержание жилых домов и квартир большинством правообладателей не расходовались.</w:t>
      </w:r>
    </w:p>
    <w:p w:rsidR="00B46FB9" w:rsidRPr="00226095" w:rsidRDefault="00B46FB9" w:rsidP="00B46FB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В исследуемом периоде управление и распоряжение имуществом, находящимся в государственной собственности Мурманской области, которое относится к объектам жилищного фонда в целом осуществлялось в соответствии с действующим законодательством, но с отдельными нарушениями и недостатками, из них:</w:t>
      </w:r>
    </w:p>
    <w:p w:rsidR="00B46FB9" w:rsidRPr="00226095" w:rsidRDefault="00D9710E" w:rsidP="00B46FB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в</w:t>
      </w:r>
      <w:r w:rsidR="00B46FB9" w:rsidRPr="00226095">
        <w:rPr>
          <w:rFonts w:ascii="Times New Roman" w:hAnsi="Times New Roman"/>
          <w:sz w:val="26"/>
          <w:szCs w:val="26"/>
        </w:rPr>
        <w:t xml:space="preserve"> нарушение пункта 2 статьи 3 Федерального закона от 21 декабря 2001 года № 178-ФЗ «О приватизации государственного и муниципального имущества» во взаимосвязи с частью 1 статьи 16, пунктом 2) части 2 статьи 19 Жилищного кодекса РФ, пунктом 2 статьи 113, пунктом 1 статьи 214 Гражданского кодекса РФ и пунктом 1 статьи 2 Федерального закона от 14 ноября 2002 года № 161-ФЗ «О государственных и муниципальных унитарных предприятиях» Министерством имущественных отношений Мурманской области при проведении приватизации ГОУТП «ТЭКОС» в состав подлежащего приватизации (отчуждению) имущественного комплекса унитарного предприятия неправомерно включены жилые помещения (4 квартиры) государственного жилищного фонда общей площадью 238,2 </w:t>
      </w:r>
      <w:proofErr w:type="spellStart"/>
      <w:r w:rsidR="00B46FB9" w:rsidRPr="00226095">
        <w:rPr>
          <w:rFonts w:ascii="Times New Roman" w:hAnsi="Times New Roman"/>
          <w:sz w:val="26"/>
          <w:szCs w:val="26"/>
        </w:rPr>
        <w:t>кв.м</w:t>
      </w:r>
      <w:proofErr w:type="spellEnd"/>
      <w:r w:rsidR="00B46FB9" w:rsidRPr="00226095">
        <w:rPr>
          <w:rFonts w:ascii="Times New Roman" w:hAnsi="Times New Roman"/>
          <w:sz w:val="26"/>
          <w:szCs w:val="26"/>
        </w:rPr>
        <w:t xml:space="preserve"> и первоначальной стоимостью 12 623,8 тыс. рублей</w:t>
      </w:r>
      <w:r>
        <w:rPr>
          <w:rFonts w:ascii="Times New Roman" w:hAnsi="Times New Roman"/>
          <w:sz w:val="26"/>
          <w:szCs w:val="26"/>
        </w:rPr>
        <w:t>;</w:t>
      </w:r>
    </w:p>
    <w:p w:rsidR="00B46FB9" w:rsidRDefault="00D9710E" w:rsidP="00B46FB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46FB9" w:rsidRPr="00226095">
        <w:rPr>
          <w:rFonts w:ascii="Times New Roman" w:hAnsi="Times New Roman"/>
          <w:sz w:val="26"/>
          <w:szCs w:val="26"/>
        </w:rPr>
        <w:t xml:space="preserve"> </w:t>
      </w:r>
      <w:r>
        <w:rPr>
          <w:rFonts w:ascii="Times New Roman" w:hAnsi="Times New Roman"/>
          <w:sz w:val="26"/>
          <w:szCs w:val="26"/>
        </w:rPr>
        <w:t>п</w:t>
      </w:r>
      <w:r w:rsidR="00B46FB9" w:rsidRPr="00226095">
        <w:rPr>
          <w:rFonts w:ascii="Times New Roman" w:hAnsi="Times New Roman"/>
          <w:sz w:val="26"/>
          <w:szCs w:val="26"/>
        </w:rPr>
        <w:t xml:space="preserve">о результатам выборочной сверки решений Аппарата ПМО о предоставлении </w:t>
      </w:r>
      <w:r w:rsidR="00B46FB9" w:rsidRPr="00226095">
        <w:rPr>
          <w:rFonts w:ascii="Times New Roman" w:hAnsi="Times New Roman"/>
          <w:sz w:val="26"/>
          <w:szCs w:val="26"/>
        </w:rPr>
        <w:lastRenderedPageBreak/>
        <w:t>гражданам служебных жилых помещений, закрепленных на праве оперативного управления за государственными областными учреждениями Мурманской области, с данными о предоставлении гражданам служебных квартир, полученными от учреждений, установлено, что 21 квартира, закрепленная на праве оперативного управления за ГОБУЗ «Кандалакшская ЦРБ» (18 квартир), ГОБУЗ «</w:t>
      </w:r>
      <w:proofErr w:type="spellStart"/>
      <w:r w:rsidR="00B46FB9" w:rsidRPr="00226095">
        <w:rPr>
          <w:rFonts w:ascii="Times New Roman" w:hAnsi="Times New Roman"/>
          <w:sz w:val="26"/>
          <w:szCs w:val="26"/>
        </w:rPr>
        <w:t>Ловозерская</w:t>
      </w:r>
      <w:proofErr w:type="spellEnd"/>
      <w:r w:rsidR="00B46FB9" w:rsidRPr="00226095">
        <w:rPr>
          <w:rFonts w:ascii="Times New Roman" w:hAnsi="Times New Roman"/>
          <w:sz w:val="26"/>
          <w:szCs w:val="26"/>
        </w:rPr>
        <w:t xml:space="preserve"> ЦРБ» (1 квартира) и ГОБУЗ «</w:t>
      </w:r>
      <w:proofErr w:type="spellStart"/>
      <w:r w:rsidR="00B46FB9" w:rsidRPr="00226095">
        <w:rPr>
          <w:rFonts w:ascii="Times New Roman" w:hAnsi="Times New Roman"/>
          <w:sz w:val="26"/>
          <w:szCs w:val="26"/>
        </w:rPr>
        <w:t>Апатитско</w:t>
      </w:r>
      <w:proofErr w:type="spellEnd"/>
      <w:r w:rsidR="00B46FB9" w:rsidRPr="00226095">
        <w:rPr>
          <w:rFonts w:ascii="Times New Roman" w:hAnsi="Times New Roman"/>
          <w:sz w:val="26"/>
          <w:szCs w:val="26"/>
        </w:rPr>
        <w:t>-Кировская ЦГБ» (2 квартиры), предоставлена учреждениями своим работникам без направления ходатайств в Аппарат ПМО и без получения от него соответствующих решений, что является нарушением пунктов 5.2 и 5.3 Положения о порядке предоставления служебных жилых помещений и жилых помещений в общежитиях жилищного фонда Мурманской области, утвержденного постановлением Правительства Мурманской области от 29 декабря 2007 года № 663-ПП (далее – Положение № 663-ПП)</w:t>
      </w:r>
      <w:r w:rsidR="00000594">
        <w:rPr>
          <w:rFonts w:ascii="Times New Roman" w:hAnsi="Times New Roman"/>
          <w:sz w:val="26"/>
          <w:szCs w:val="26"/>
        </w:rPr>
        <w:t>;</w:t>
      </w:r>
    </w:p>
    <w:p w:rsidR="00B46FB9" w:rsidRPr="00226095" w:rsidRDefault="00000594" w:rsidP="00B46FB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46FB9" w:rsidRPr="00226095">
        <w:rPr>
          <w:rFonts w:ascii="Times New Roman" w:hAnsi="Times New Roman"/>
          <w:sz w:val="26"/>
          <w:szCs w:val="26"/>
        </w:rPr>
        <w:t xml:space="preserve"> </w:t>
      </w:r>
      <w:r>
        <w:rPr>
          <w:rFonts w:ascii="Times New Roman" w:hAnsi="Times New Roman"/>
          <w:sz w:val="26"/>
          <w:szCs w:val="26"/>
        </w:rPr>
        <w:t>в</w:t>
      </w:r>
      <w:r w:rsidR="00B46FB9" w:rsidRPr="00226095">
        <w:rPr>
          <w:rFonts w:ascii="Times New Roman" w:hAnsi="Times New Roman"/>
          <w:sz w:val="26"/>
          <w:szCs w:val="26"/>
        </w:rPr>
        <w:t xml:space="preserve"> 2017 и 2018 годах ГОБУ «Управление по обеспечению деятельности Правительства Мурманской области» предоставлено 5 жилых помещений гражданам (квартиры в </w:t>
      </w:r>
      <w:proofErr w:type="spellStart"/>
      <w:r w:rsidR="00B46FB9" w:rsidRPr="00226095">
        <w:rPr>
          <w:rFonts w:ascii="Times New Roman" w:hAnsi="Times New Roman"/>
          <w:sz w:val="26"/>
          <w:szCs w:val="26"/>
        </w:rPr>
        <w:t>г.Мурманске</w:t>
      </w:r>
      <w:proofErr w:type="spellEnd"/>
      <w:r w:rsidR="00B46FB9" w:rsidRPr="00226095">
        <w:rPr>
          <w:rFonts w:ascii="Times New Roman" w:hAnsi="Times New Roman"/>
          <w:sz w:val="26"/>
          <w:szCs w:val="26"/>
        </w:rPr>
        <w:t xml:space="preserve">) сверх установленной нормы площади жилого помещения, определенной пунктом 2.3 Положения № 663-ПП, превышение нормы варьировалось от 3,5 </w:t>
      </w:r>
      <w:proofErr w:type="spellStart"/>
      <w:r w:rsidR="00B46FB9" w:rsidRPr="00226095">
        <w:rPr>
          <w:rFonts w:ascii="Times New Roman" w:hAnsi="Times New Roman"/>
          <w:sz w:val="26"/>
          <w:szCs w:val="26"/>
        </w:rPr>
        <w:t>кв.м</w:t>
      </w:r>
      <w:proofErr w:type="spellEnd"/>
      <w:r w:rsidR="00B46FB9" w:rsidRPr="00226095">
        <w:rPr>
          <w:rFonts w:ascii="Times New Roman" w:hAnsi="Times New Roman"/>
          <w:sz w:val="26"/>
          <w:szCs w:val="26"/>
        </w:rPr>
        <w:t xml:space="preserve"> до 41,2 </w:t>
      </w:r>
      <w:proofErr w:type="spellStart"/>
      <w:r w:rsidR="00B46FB9" w:rsidRPr="00226095">
        <w:rPr>
          <w:rFonts w:ascii="Times New Roman" w:hAnsi="Times New Roman"/>
          <w:sz w:val="26"/>
          <w:szCs w:val="26"/>
        </w:rPr>
        <w:t>кв.м</w:t>
      </w:r>
      <w:proofErr w:type="spellEnd"/>
      <w:r>
        <w:rPr>
          <w:rFonts w:ascii="Times New Roman" w:hAnsi="Times New Roman"/>
          <w:sz w:val="26"/>
          <w:szCs w:val="26"/>
        </w:rPr>
        <w:t>;</w:t>
      </w:r>
    </w:p>
    <w:p w:rsidR="00B46FB9" w:rsidRPr="00226095" w:rsidRDefault="00000594" w:rsidP="00B46FB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46FB9" w:rsidRPr="00226095">
        <w:rPr>
          <w:rFonts w:ascii="Times New Roman" w:hAnsi="Times New Roman"/>
          <w:sz w:val="26"/>
          <w:szCs w:val="26"/>
        </w:rPr>
        <w:t xml:space="preserve"> </w:t>
      </w:r>
      <w:r>
        <w:rPr>
          <w:rFonts w:ascii="Times New Roman" w:hAnsi="Times New Roman"/>
          <w:sz w:val="26"/>
          <w:szCs w:val="26"/>
        </w:rPr>
        <w:t>в</w:t>
      </w:r>
      <w:r w:rsidR="00B46FB9" w:rsidRPr="00226095">
        <w:rPr>
          <w:rFonts w:ascii="Times New Roman" w:hAnsi="Times New Roman"/>
          <w:sz w:val="26"/>
          <w:szCs w:val="26"/>
        </w:rPr>
        <w:t xml:space="preserve"> Мурманской области отсутствует порядок предоставления жилых помещений лицам, замещающим государственные должности Мурманской области, которые не имеют места жительства, а также не имеют в собственности жилых помещений в городе Мурманске, что не согласуется со статьей 13 Жилищного кодекса РФ</w:t>
      </w:r>
      <w:r>
        <w:rPr>
          <w:rFonts w:ascii="Times New Roman" w:hAnsi="Times New Roman"/>
          <w:sz w:val="26"/>
          <w:szCs w:val="26"/>
        </w:rPr>
        <w:t>;</w:t>
      </w:r>
    </w:p>
    <w:p w:rsidR="00B46FB9" w:rsidRPr="00226095" w:rsidRDefault="00000594" w:rsidP="00B46FB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46FB9" w:rsidRPr="00226095">
        <w:rPr>
          <w:rFonts w:ascii="Times New Roman" w:hAnsi="Times New Roman"/>
          <w:sz w:val="26"/>
          <w:szCs w:val="26"/>
        </w:rPr>
        <w:t xml:space="preserve"> </w:t>
      </w:r>
      <w:r>
        <w:rPr>
          <w:rFonts w:ascii="Times New Roman" w:hAnsi="Times New Roman"/>
          <w:sz w:val="26"/>
          <w:szCs w:val="26"/>
        </w:rPr>
        <w:t>п</w:t>
      </w:r>
      <w:r w:rsidR="00B46FB9" w:rsidRPr="00226095">
        <w:rPr>
          <w:rFonts w:ascii="Times New Roman" w:hAnsi="Times New Roman"/>
          <w:sz w:val="26"/>
          <w:szCs w:val="26"/>
        </w:rPr>
        <w:t xml:space="preserve">о результатам сверки данных, содержащихся в </w:t>
      </w:r>
      <w:proofErr w:type="spellStart"/>
      <w:r w:rsidR="00B46FB9" w:rsidRPr="00226095">
        <w:rPr>
          <w:rFonts w:ascii="Times New Roman" w:hAnsi="Times New Roman"/>
          <w:sz w:val="26"/>
          <w:szCs w:val="26"/>
        </w:rPr>
        <w:t>Спецреестре</w:t>
      </w:r>
      <w:proofErr w:type="spellEnd"/>
      <w:r w:rsidR="00B46FB9" w:rsidRPr="00226095">
        <w:rPr>
          <w:rFonts w:ascii="Times New Roman" w:hAnsi="Times New Roman"/>
          <w:sz w:val="26"/>
          <w:szCs w:val="26"/>
        </w:rPr>
        <w:t xml:space="preserve"> по состоянию на 01.10.2019, с данными, предоставленными правообладателями установлены расхождениях в количестве объектов (10 единиц), их общей площади (на 32 192,6 </w:t>
      </w:r>
      <w:proofErr w:type="spellStart"/>
      <w:r w:rsidR="00B46FB9" w:rsidRPr="00226095">
        <w:rPr>
          <w:rFonts w:ascii="Times New Roman" w:hAnsi="Times New Roman"/>
          <w:sz w:val="26"/>
          <w:szCs w:val="26"/>
        </w:rPr>
        <w:t>кв.м</w:t>
      </w:r>
      <w:proofErr w:type="spellEnd"/>
      <w:r w:rsidR="00B46FB9" w:rsidRPr="00226095">
        <w:rPr>
          <w:rFonts w:ascii="Times New Roman" w:hAnsi="Times New Roman"/>
          <w:sz w:val="26"/>
          <w:szCs w:val="26"/>
        </w:rPr>
        <w:t xml:space="preserve">) и первоначальной стоимости (на 234 933,5 тыс. рублей), а также установлен ряд несоответствий по наполнению его граф. Таким образом, Аппаратом ПМО не обеспечено на должном уровне ведение </w:t>
      </w:r>
      <w:proofErr w:type="spellStart"/>
      <w:r w:rsidR="00B46FB9" w:rsidRPr="00226095">
        <w:rPr>
          <w:rFonts w:ascii="Times New Roman" w:hAnsi="Times New Roman"/>
          <w:sz w:val="26"/>
          <w:szCs w:val="26"/>
        </w:rPr>
        <w:t>Спецреестра</w:t>
      </w:r>
      <w:proofErr w:type="spellEnd"/>
      <w:r w:rsidR="00B46FB9" w:rsidRPr="00226095">
        <w:rPr>
          <w:rFonts w:ascii="Times New Roman" w:hAnsi="Times New Roman"/>
          <w:sz w:val="26"/>
          <w:szCs w:val="26"/>
        </w:rPr>
        <w:t xml:space="preserve">, который в соответствии с пунктами 1.2 Положения об учете государственного имущества и 1.4 Порядка учета и ведения </w:t>
      </w:r>
      <w:proofErr w:type="spellStart"/>
      <w:r w:rsidR="00B46FB9" w:rsidRPr="00226095">
        <w:rPr>
          <w:rFonts w:ascii="Times New Roman" w:hAnsi="Times New Roman"/>
          <w:sz w:val="26"/>
          <w:szCs w:val="26"/>
        </w:rPr>
        <w:t>Спецреестра</w:t>
      </w:r>
      <w:proofErr w:type="spellEnd"/>
      <w:r w:rsidR="00B46FB9" w:rsidRPr="00226095">
        <w:rPr>
          <w:rFonts w:ascii="Times New Roman" w:hAnsi="Times New Roman"/>
          <w:sz w:val="26"/>
          <w:szCs w:val="26"/>
        </w:rPr>
        <w:t>, утвержденного постановлением Правительства Мурманской области от 22 октября 2010 года № 479-ПП (далее – Порядок № 479-ПП) представляет собой организационно упорядоченную совокупность документов и информационных технологий, реализующих процессы учета по отдельному виду государственного имущества Мурманской области</w:t>
      </w:r>
      <w:r>
        <w:rPr>
          <w:rFonts w:ascii="Times New Roman" w:hAnsi="Times New Roman"/>
          <w:sz w:val="26"/>
          <w:szCs w:val="26"/>
        </w:rPr>
        <w:t>;</w:t>
      </w:r>
    </w:p>
    <w:p w:rsidR="00B46FB9" w:rsidRPr="00226095" w:rsidRDefault="00000594" w:rsidP="00B46FB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46FB9" w:rsidRPr="00226095">
        <w:rPr>
          <w:rFonts w:ascii="Times New Roman" w:hAnsi="Times New Roman"/>
          <w:sz w:val="26"/>
          <w:szCs w:val="26"/>
        </w:rPr>
        <w:t xml:space="preserve"> </w:t>
      </w:r>
      <w:r>
        <w:rPr>
          <w:rFonts w:ascii="Times New Roman" w:hAnsi="Times New Roman"/>
          <w:sz w:val="26"/>
          <w:szCs w:val="26"/>
        </w:rPr>
        <w:t>в</w:t>
      </w:r>
      <w:r w:rsidR="00B46FB9" w:rsidRPr="00226095">
        <w:rPr>
          <w:rFonts w:ascii="Times New Roman" w:hAnsi="Times New Roman"/>
          <w:sz w:val="26"/>
          <w:szCs w:val="26"/>
        </w:rPr>
        <w:t xml:space="preserve"> соответствии с информацией, полученной от правообладателей:</w:t>
      </w:r>
    </w:p>
    <w:p w:rsidR="00B46FB9" w:rsidRPr="00226095" w:rsidRDefault="00B46FB9" w:rsidP="001D6642">
      <w:pPr>
        <w:widowControl w:val="0"/>
        <w:spacing w:after="0" w:line="240" w:lineRule="auto"/>
        <w:ind w:left="709"/>
        <w:jc w:val="both"/>
        <w:rPr>
          <w:rFonts w:ascii="Times New Roman" w:hAnsi="Times New Roman"/>
          <w:sz w:val="26"/>
          <w:szCs w:val="26"/>
        </w:rPr>
      </w:pPr>
      <w:r w:rsidRPr="00226095">
        <w:rPr>
          <w:rFonts w:ascii="Times New Roman" w:hAnsi="Times New Roman"/>
          <w:sz w:val="26"/>
          <w:szCs w:val="26"/>
        </w:rPr>
        <w:t xml:space="preserve">- отдельные квартиры и жилые дома (11 объектов общей площадью 1 695,5 </w:t>
      </w:r>
      <w:proofErr w:type="spellStart"/>
      <w:proofErr w:type="gramStart"/>
      <w:r w:rsidRPr="00226095">
        <w:rPr>
          <w:rFonts w:ascii="Times New Roman" w:hAnsi="Times New Roman"/>
          <w:sz w:val="26"/>
          <w:szCs w:val="26"/>
        </w:rPr>
        <w:t>кв.м</w:t>
      </w:r>
      <w:proofErr w:type="spellEnd"/>
      <w:proofErr w:type="gramEnd"/>
      <w:r w:rsidRPr="00226095">
        <w:rPr>
          <w:rFonts w:ascii="Times New Roman" w:hAnsi="Times New Roman"/>
          <w:sz w:val="26"/>
          <w:szCs w:val="26"/>
        </w:rPr>
        <w:t>) не используются учреждениями длительное время;</w:t>
      </w:r>
    </w:p>
    <w:p w:rsidR="00B46FB9" w:rsidRPr="00226095" w:rsidRDefault="00B46FB9" w:rsidP="001D6642">
      <w:pPr>
        <w:widowControl w:val="0"/>
        <w:spacing w:after="0" w:line="240" w:lineRule="auto"/>
        <w:ind w:left="709"/>
        <w:jc w:val="both"/>
        <w:rPr>
          <w:rFonts w:ascii="Times New Roman" w:hAnsi="Times New Roman"/>
          <w:sz w:val="26"/>
          <w:szCs w:val="26"/>
        </w:rPr>
      </w:pPr>
      <w:r w:rsidRPr="00226095">
        <w:rPr>
          <w:rFonts w:ascii="Times New Roman" w:hAnsi="Times New Roman"/>
          <w:sz w:val="26"/>
          <w:szCs w:val="26"/>
        </w:rPr>
        <w:t xml:space="preserve">- в отдельных квартирах и жилых домах (5 объектов общей площадью 353,1 </w:t>
      </w:r>
      <w:proofErr w:type="spellStart"/>
      <w:proofErr w:type="gramStart"/>
      <w:r w:rsidRPr="00226095">
        <w:rPr>
          <w:rFonts w:ascii="Times New Roman" w:hAnsi="Times New Roman"/>
          <w:sz w:val="26"/>
          <w:szCs w:val="26"/>
        </w:rPr>
        <w:t>кв.м</w:t>
      </w:r>
      <w:proofErr w:type="spellEnd"/>
      <w:proofErr w:type="gramEnd"/>
      <w:r w:rsidRPr="00226095">
        <w:rPr>
          <w:rFonts w:ascii="Times New Roman" w:hAnsi="Times New Roman"/>
          <w:sz w:val="26"/>
          <w:szCs w:val="26"/>
        </w:rPr>
        <w:t>) прописаны либо проживают лица, не являющиеся работниками учреждений</w:t>
      </w:r>
      <w:r w:rsidR="000F3501">
        <w:rPr>
          <w:rFonts w:ascii="Times New Roman" w:hAnsi="Times New Roman"/>
          <w:sz w:val="26"/>
          <w:szCs w:val="26"/>
        </w:rPr>
        <w:t>;</w:t>
      </w:r>
    </w:p>
    <w:p w:rsidR="00B46FB9" w:rsidRPr="00226095" w:rsidRDefault="000F3501" w:rsidP="000F3501">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46FB9" w:rsidRPr="00226095">
        <w:rPr>
          <w:rFonts w:ascii="Times New Roman" w:hAnsi="Times New Roman"/>
          <w:sz w:val="26"/>
          <w:szCs w:val="26"/>
        </w:rPr>
        <w:t xml:space="preserve"> </w:t>
      </w:r>
      <w:r>
        <w:rPr>
          <w:rFonts w:ascii="Times New Roman" w:hAnsi="Times New Roman"/>
          <w:sz w:val="26"/>
          <w:szCs w:val="26"/>
        </w:rPr>
        <w:t>в</w:t>
      </w:r>
      <w:r w:rsidR="00B46FB9" w:rsidRPr="00226095">
        <w:rPr>
          <w:rFonts w:ascii="Times New Roman" w:hAnsi="Times New Roman"/>
          <w:sz w:val="26"/>
          <w:szCs w:val="26"/>
        </w:rPr>
        <w:t xml:space="preserve"> исследуемом периоде Аппаратом ПМО проводились проверки использования и сохранности объектов жилищного фонда Мурманской области, по результатам которых специалистами Аппарата ПМО составлялись заключения. В случае выявления нарушений законодательства в заключения включались предложения и рекомендации по их устранению. Однако, установлены отдельные случаи, когда Аппаратом ПМО не обеспечен достаточный контроль за исполнением правообладателями жилых помещений предложений по результатам проверки.</w:t>
      </w:r>
    </w:p>
    <w:p w:rsidR="004A482F" w:rsidRPr="001F2EDE" w:rsidRDefault="004A482F" w:rsidP="004A482F">
      <w:pPr>
        <w:tabs>
          <w:tab w:val="left" w:pos="284"/>
        </w:tabs>
        <w:suppressAutoHyphens/>
        <w:spacing w:after="0" w:line="240" w:lineRule="auto"/>
        <w:ind w:firstLine="709"/>
        <w:jc w:val="both"/>
        <w:rPr>
          <w:rFonts w:ascii="Times New Roman" w:hAnsi="Times New Roman"/>
          <w:b/>
          <w:sz w:val="16"/>
          <w:szCs w:val="16"/>
          <w:lang w:eastAsia="x-none"/>
        </w:rPr>
      </w:pPr>
    </w:p>
    <w:p w:rsidR="004A482F" w:rsidRDefault="00D63953" w:rsidP="004A482F">
      <w:pPr>
        <w:tabs>
          <w:tab w:val="left" w:pos="284"/>
        </w:tabs>
        <w:suppressAutoHyphens/>
        <w:spacing w:after="0" w:line="240" w:lineRule="auto"/>
        <w:ind w:firstLine="709"/>
        <w:jc w:val="both"/>
        <w:rPr>
          <w:rFonts w:ascii="Times New Roman" w:hAnsi="Times New Roman"/>
          <w:sz w:val="26"/>
          <w:szCs w:val="26"/>
          <w:lang w:eastAsia="x-none"/>
        </w:rPr>
      </w:pPr>
      <w:r>
        <w:rPr>
          <w:rFonts w:ascii="Times New Roman" w:hAnsi="Times New Roman"/>
          <w:b/>
          <w:sz w:val="26"/>
          <w:szCs w:val="26"/>
          <w:lang w:eastAsia="x-none"/>
        </w:rPr>
        <w:lastRenderedPageBreak/>
        <w:t>4</w:t>
      </w:r>
      <w:r w:rsidR="00EB2C29" w:rsidRPr="00EB2C29">
        <w:rPr>
          <w:rFonts w:ascii="Times New Roman" w:hAnsi="Times New Roman"/>
          <w:b/>
          <w:sz w:val="26"/>
          <w:szCs w:val="26"/>
          <w:lang w:eastAsia="x-none"/>
        </w:rPr>
        <w:t>.3</w:t>
      </w:r>
      <w:r w:rsidR="00EB2C29">
        <w:rPr>
          <w:rFonts w:ascii="Times New Roman" w:hAnsi="Times New Roman"/>
          <w:b/>
          <w:sz w:val="26"/>
          <w:szCs w:val="26"/>
          <w:lang w:eastAsia="x-none"/>
        </w:rPr>
        <w:t>.</w:t>
      </w:r>
      <w:r w:rsidR="00EB2C29">
        <w:rPr>
          <w:rFonts w:ascii="Times New Roman" w:hAnsi="Times New Roman"/>
          <w:sz w:val="26"/>
          <w:szCs w:val="26"/>
          <w:lang w:eastAsia="x-none"/>
        </w:rPr>
        <w:t xml:space="preserve"> </w:t>
      </w:r>
      <w:r w:rsidR="007512F1" w:rsidRPr="00226095">
        <w:rPr>
          <w:rFonts w:ascii="Times New Roman" w:hAnsi="Times New Roman"/>
          <w:sz w:val="26"/>
          <w:szCs w:val="26"/>
          <w:lang w:eastAsia="x-none"/>
        </w:rPr>
        <w:t>По результатам</w:t>
      </w:r>
      <w:r w:rsidR="00BA563A" w:rsidRPr="00226095">
        <w:rPr>
          <w:rFonts w:ascii="Times New Roman" w:hAnsi="Times New Roman"/>
          <w:sz w:val="26"/>
          <w:szCs w:val="26"/>
          <w:lang w:eastAsia="x-none"/>
        </w:rPr>
        <w:t xml:space="preserve"> </w:t>
      </w:r>
      <w:r w:rsidR="007C251B" w:rsidRPr="007C251B">
        <w:rPr>
          <w:rFonts w:ascii="Times New Roman" w:hAnsi="Times New Roman"/>
          <w:b/>
          <w:bCs/>
          <w:sz w:val="26"/>
          <w:szCs w:val="26"/>
          <w:lang w:eastAsia="x-none"/>
        </w:rPr>
        <w:t>а</w:t>
      </w:r>
      <w:r w:rsidR="007512F1" w:rsidRPr="00226095">
        <w:rPr>
          <w:rFonts w:ascii="Times New Roman" w:hAnsi="Times New Roman"/>
          <w:b/>
          <w:bCs/>
          <w:iCs/>
          <w:sz w:val="26"/>
          <w:szCs w:val="26"/>
          <w:lang w:eastAsia="x-none"/>
        </w:rPr>
        <w:t>нализ</w:t>
      </w:r>
      <w:r w:rsidR="007C251B">
        <w:rPr>
          <w:rFonts w:ascii="Times New Roman" w:hAnsi="Times New Roman"/>
          <w:b/>
          <w:bCs/>
          <w:iCs/>
          <w:sz w:val="26"/>
          <w:szCs w:val="26"/>
          <w:lang w:eastAsia="x-none"/>
        </w:rPr>
        <w:t>а</w:t>
      </w:r>
      <w:r w:rsidR="007512F1" w:rsidRPr="00226095">
        <w:rPr>
          <w:rFonts w:ascii="Times New Roman" w:hAnsi="Times New Roman"/>
          <w:b/>
          <w:bCs/>
          <w:sz w:val="26"/>
          <w:szCs w:val="26"/>
          <w:lang w:eastAsia="x-none"/>
        </w:rPr>
        <w:t xml:space="preserve"> </w:t>
      </w:r>
      <w:r w:rsidR="007512F1" w:rsidRPr="00226095">
        <w:rPr>
          <w:rFonts w:ascii="Times New Roman" w:hAnsi="Times New Roman"/>
          <w:b/>
          <w:bCs/>
          <w:iCs/>
          <w:sz w:val="26"/>
          <w:szCs w:val="26"/>
          <w:lang w:eastAsia="x-none"/>
        </w:rPr>
        <w:t>и оценк</w:t>
      </w:r>
      <w:r w:rsidR="007C251B">
        <w:rPr>
          <w:rFonts w:ascii="Times New Roman" w:hAnsi="Times New Roman"/>
          <w:b/>
          <w:bCs/>
          <w:iCs/>
          <w:sz w:val="26"/>
          <w:szCs w:val="26"/>
          <w:lang w:eastAsia="x-none"/>
        </w:rPr>
        <w:t>и</w:t>
      </w:r>
      <w:r w:rsidR="007512F1" w:rsidRPr="00226095">
        <w:rPr>
          <w:rFonts w:ascii="Times New Roman" w:hAnsi="Times New Roman"/>
          <w:b/>
          <w:bCs/>
          <w:iCs/>
          <w:sz w:val="26"/>
          <w:szCs w:val="26"/>
          <w:lang w:eastAsia="x-none"/>
        </w:rPr>
        <w:t xml:space="preserve"> результативности использования средств областного бюджета, направленных на мероприятия по содействию занятости населения Мурманской области в 2016 – 2018 годах в рамках реализации государственной программы Мурманской области «Управление развитием регионального рынка труда»</w:t>
      </w:r>
      <w:r w:rsidR="007512F1" w:rsidRPr="00226095">
        <w:rPr>
          <w:rFonts w:ascii="Times New Roman" w:hAnsi="Times New Roman"/>
          <w:b/>
          <w:sz w:val="26"/>
          <w:szCs w:val="26"/>
          <w:lang w:eastAsia="x-none"/>
        </w:rPr>
        <w:t xml:space="preserve"> </w:t>
      </w:r>
      <w:r w:rsidR="007512F1" w:rsidRPr="00226095">
        <w:rPr>
          <w:rFonts w:ascii="Times New Roman" w:hAnsi="Times New Roman"/>
          <w:sz w:val="26"/>
          <w:szCs w:val="26"/>
          <w:lang w:eastAsia="x-none"/>
        </w:rPr>
        <w:t>установлено следующее.</w:t>
      </w:r>
    </w:p>
    <w:p w:rsidR="007512F1" w:rsidRPr="00226095" w:rsidRDefault="007512F1" w:rsidP="004A482F">
      <w:pPr>
        <w:tabs>
          <w:tab w:val="left" w:pos="284"/>
        </w:tabs>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За период реализации Государственной программы с 2014 по 2018 год, в том числе в исследуемом периоде, ситуация на рынке труда Мурманской области улучшилась и имеет положительную тенденцию:</w:t>
      </w:r>
    </w:p>
    <w:p w:rsidR="007512F1" w:rsidRPr="00226095" w:rsidRDefault="004A482F" w:rsidP="007512F1">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7512F1" w:rsidRPr="00226095">
        <w:rPr>
          <w:rFonts w:ascii="Times New Roman" w:hAnsi="Times New Roman"/>
          <w:sz w:val="26"/>
          <w:szCs w:val="26"/>
          <w:lang w:eastAsia="x-none"/>
        </w:rPr>
        <w:t>при сохранении в целом значения регистрируемой безработицы в 2013 – 2018 годах на уровне 1,5 %, уровень общей безработицы сократился с 7,2 % до 6,8 процента;</w:t>
      </w:r>
    </w:p>
    <w:p w:rsidR="007512F1" w:rsidRPr="00226095" w:rsidRDefault="004A482F" w:rsidP="007512F1">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7512F1" w:rsidRPr="00226095">
        <w:rPr>
          <w:rFonts w:ascii="Times New Roman" w:hAnsi="Times New Roman"/>
          <w:sz w:val="26"/>
          <w:szCs w:val="26"/>
          <w:lang w:eastAsia="x-none"/>
        </w:rPr>
        <w:t>при сохранении в целом на одном уровне численности граждан, состоящих на регистрационном учете в целях поиска подходящей работы и в качестве безработных – 6,7-7,0 тыс. человек, показатель коэффициента напряженности на рынке труда снизился с 0,8 до 0,6;</w:t>
      </w:r>
    </w:p>
    <w:p w:rsidR="007512F1" w:rsidRPr="00226095" w:rsidRDefault="004A482F" w:rsidP="007512F1">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7512F1" w:rsidRPr="00226095">
        <w:rPr>
          <w:rFonts w:ascii="Times New Roman" w:hAnsi="Times New Roman"/>
          <w:sz w:val="26"/>
          <w:szCs w:val="26"/>
          <w:lang w:eastAsia="x-none"/>
        </w:rPr>
        <w:t xml:space="preserve">средняя длительность поиска работы лицами, имеющими статус безработных, сократилась с 4,7 до 4,3 месяцев. </w:t>
      </w:r>
    </w:p>
    <w:p w:rsidR="007512F1" w:rsidRPr="00226095" w:rsidRDefault="007512F1" w:rsidP="007512F1">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Кроме того, за три исследуемых года количество заявляемых работодателями рабочих мест в организациях Мурманской области выросло на 46,4 %: с 33 391 ед. в 2016 году до 48 899 ед. в 2018 году (в основном в связи с началом реализации на территории области крупного инвестиционного проекта).</w:t>
      </w:r>
    </w:p>
    <w:p w:rsidR="007512F1" w:rsidRPr="00226095" w:rsidRDefault="007512F1" w:rsidP="007512F1">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Перечень государственных (муниципальных) услуг и работ в области содействия занятости населения сформирован и утвержден в соответствии с нормами Бюджетного кодекса РФ и порядка, утвержденного постановлением Правительства Мурманской области от 11 октября 2017 года № 473-ПП.</w:t>
      </w:r>
    </w:p>
    <w:p w:rsidR="007512F1" w:rsidRPr="00226095" w:rsidRDefault="007512F1" w:rsidP="007512F1">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 xml:space="preserve">Плановые объемы государственных услуг в области содействия занятости населения определялись с учетом и в соответствии с нормативами доступности государственных услуг, утвержденными федеральным органом исполнительной власти. </w:t>
      </w:r>
    </w:p>
    <w:p w:rsidR="007512F1" w:rsidRPr="00226095" w:rsidRDefault="007512F1" w:rsidP="007512F1">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Оказание государственных услуг осуществляется с превышением плановых объемов.</w:t>
      </w:r>
    </w:p>
    <w:p w:rsidR="007512F1" w:rsidRPr="00226095" w:rsidRDefault="007512F1" w:rsidP="007512F1">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 xml:space="preserve">Наиболее </w:t>
      </w:r>
      <w:proofErr w:type="spellStart"/>
      <w:r w:rsidRPr="00226095">
        <w:rPr>
          <w:rFonts w:ascii="Times New Roman" w:hAnsi="Times New Roman"/>
          <w:sz w:val="26"/>
          <w:szCs w:val="26"/>
          <w:lang w:eastAsia="x-none"/>
        </w:rPr>
        <w:t>ресурсозатратными</w:t>
      </w:r>
      <w:proofErr w:type="spellEnd"/>
      <w:r w:rsidRPr="00226095">
        <w:rPr>
          <w:rFonts w:ascii="Times New Roman" w:hAnsi="Times New Roman"/>
          <w:sz w:val="26"/>
          <w:szCs w:val="26"/>
          <w:lang w:eastAsia="x-none"/>
        </w:rPr>
        <w:t xml:space="preserve"> услугами являются услуги, у которых в состав базовых затрат на их оказание входят затраты на производственное обучение или дополнительное профессиональное образование, на выплату материальной поддержки безработным гражданам при их переезде (переселении) в другую местность в целях трудоустройства.</w:t>
      </w:r>
    </w:p>
    <w:p w:rsidR="007512F1" w:rsidRPr="00226095" w:rsidRDefault="007512F1" w:rsidP="007512F1">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Удельный вес инвалидов, имеющих работу в Мурманской области, на конец исследуемого периода составил 20,8 %, что ниже общероссийского значения (26,4 %). По данному показателю Мурманская область находится на 10 месте в Северо-Западном федеральном округе.</w:t>
      </w:r>
    </w:p>
    <w:p w:rsidR="007512F1" w:rsidRPr="00226095" w:rsidRDefault="007512F1" w:rsidP="007512F1">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 xml:space="preserve">Наиболее действенным механизмом, способствующим трудоустройству инвалидов, является квотирование рабочих мест. В Мурманской области в 2016 – 2018 годах для трудоустройства инвалидов в счет установленной квоты работодателями создано (выделено) 4 892 рабочих места, из них 872 специальных рабочих места. В тоже время только половина рабочих мест замещается инвалидами, остальные рабочие места остаются вакантными. Часть заявленных работодателями рабочих мест недоступны для инвалидов в связи с установлением к таким вакантным должностям специальных (высоких) квалификационных, аттестационных, медицинских и прочих требований, что может свидетельствовать о формальном соблюдении работодателями </w:t>
      </w:r>
      <w:r w:rsidRPr="00226095">
        <w:rPr>
          <w:rFonts w:ascii="Times New Roman" w:hAnsi="Times New Roman"/>
          <w:sz w:val="26"/>
          <w:szCs w:val="26"/>
          <w:lang w:eastAsia="x-none"/>
        </w:rPr>
        <w:lastRenderedPageBreak/>
        <w:t>требований законодательства по созданию и (или) выделению рабочих мест в счет квоты для приема на работу инвалидов.</w:t>
      </w:r>
    </w:p>
    <w:p w:rsidR="007512F1" w:rsidRDefault="007512F1" w:rsidP="007512F1">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Значительное влияние на возможность трудоустройства инвалидов оказывает проблема необорудованного общественного транспорта и необходимость использования посторонней помощи при перемещении.</w:t>
      </w:r>
    </w:p>
    <w:p w:rsidR="006443D9" w:rsidRPr="006443D9" w:rsidRDefault="006443D9" w:rsidP="007512F1">
      <w:pPr>
        <w:suppressAutoHyphens/>
        <w:spacing w:after="0" w:line="240" w:lineRule="auto"/>
        <w:ind w:firstLine="709"/>
        <w:jc w:val="both"/>
        <w:rPr>
          <w:rFonts w:ascii="Times New Roman" w:hAnsi="Times New Roman"/>
          <w:sz w:val="6"/>
          <w:szCs w:val="6"/>
          <w:lang w:eastAsia="x-none"/>
        </w:rPr>
      </w:pPr>
    </w:p>
    <w:p w:rsidR="007512F1" w:rsidRPr="00226095" w:rsidRDefault="007512F1" w:rsidP="007512F1">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По результатам мероприятия направлены информационные письма:</w:t>
      </w:r>
    </w:p>
    <w:p w:rsidR="007512F1" w:rsidRPr="00226095" w:rsidRDefault="004A482F" w:rsidP="007512F1">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12F1" w:rsidRPr="00226095">
        <w:rPr>
          <w:rFonts w:ascii="Times New Roman" w:hAnsi="Times New Roman"/>
          <w:sz w:val="26"/>
          <w:szCs w:val="26"/>
          <w:lang w:eastAsia="x-none"/>
        </w:rPr>
        <w:t> в Правительство Мурманской области с предложением рассмотреть вопрос о внесении изменений в Порядок предоставления грантов в форме субсидий из областного бюджета на реализацию мероприятий в сфере занятости населения по содействию в трудоустройстве незанятых инвалидов на оборудованные (оснащенные) для них рабочие места, утвержденный постановлением Правительства Мурманской области от 26 декабря 2016 года № 661-ПП, в части включения в условия предоставления и расходования грантов требования о соответствии наименований должностей, профессий или специальностей, на которые трудоустраиваются инвалиды, и квалификационных требований к ним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w:t>
      </w:r>
    </w:p>
    <w:p w:rsidR="007512F1" w:rsidRPr="00226095" w:rsidRDefault="004A482F" w:rsidP="007512F1">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12F1" w:rsidRPr="00226095">
        <w:rPr>
          <w:rFonts w:ascii="Times New Roman" w:hAnsi="Times New Roman"/>
          <w:sz w:val="26"/>
          <w:szCs w:val="26"/>
          <w:lang w:eastAsia="x-none"/>
        </w:rPr>
        <w:t> в Комитет по труду и занятости населения Мурманской области с предложениями рассмотреть вопросы: о принятии мер по корректировке ожидаемых конечных результатов реализации Государственной программы и подпрограммы 1 «Содействие занятости населения Мурманской области»; о внесении изменений в Положение об определении перечня приоритетных профессий (специальностей) для профессионального обучения и дополнительного профессионального образования безработных граждан в части уточнения (корректировки) значения критерия отнесения профессии (специальности) к категории наиболее востребованной.</w:t>
      </w:r>
    </w:p>
    <w:p w:rsidR="00BA563A" w:rsidRPr="00BA563A" w:rsidRDefault="00D63953" w:rsidP="00BA563A">
      <w:pPr>
        <w:spacing w:before="120" w:after="0" w:line="240" w:lineRule="auto"/>
        <w:ind w:firstLine="709"/>
        <w:jc w:val="both"/>
        <w:rPr>
          <w:rFonts w:ascii="Times New Roman" w:hAnsi="Times New Roman"/>
          <w:sz w:val="26"/>
          <w:szCs w:val="26"/>
        </w:rPr>
      </w:pPr>
      <w:r>
        <w:rPr>
          <w:rFonts w:ascii="Times New Roman" w:hAnsi="Times New Roman"/>
          <w:b/>
          <w:sz w:val="26"/>
          <w:szCs w:val="26"/>
        </w:rPr>
        <w:t>4</w:t>
      </w:r>
      <w:r w:rsidR="00EB2C29" w:rsidRPr="00EB2C29">
        <w:rPr>
          <w:rFonts w:ascii="Times New Roman" w:hAnsi="Times New Roman"/>
          <w:b/>
          <w:sz w:val="26"/>
          <w:szCs w:val="26"/>
        </w:rPr>
        <w:t>.4.</w:t>
      </w:r>
      <w:r w:rsidR="00EB2C29">
        <w:rPr>
          <w:rFonts w:ascii="Times New Roman" w:hAnsi="Times New Roman"/>
          <w:sz w:val="26"/>
          <w:szCs w:val="26"/>
        </w:rPr>
        <w:t xml:space="preserve"> </w:t>
      </w:r>
      <w:r w:rsidR="00BA563A" w:rsidRPr="00BA563A">
        <w:rPr>
          <w:rFonts w:ascii="Times New Roman" w:hAnsi="Times New Roman"/>
          <w:sz w:val="26"/>
          <w:szCs w:val="26"/>
        </w:rPr>
        <w:t xml:space="preserve">По результатам </w:t>
      </w:r>
      <w:r w:rsidR="007C251B" w:rsidRPr="007C251B">
        <w:rPr>
          <w:rFonts w:ascii="Times New Roman" w:hAnsi="Times New Roman"/>
          <w:b/>
          <w:bCs/>
          <w:sz w:val="26"/>
          <w:szCs w:val="26"/>
        </w:rPr>
        <w:t>а</w:t>
      </w:r>
      <w:r w:rsidR="00BA563A" w:rsidRPr="00BA563A">
        <w:rPr>
          <w:rFonts w:ascii="Times New Roman" w:hAnsi="Times New Roman"/>
          <w:b/>
          <w:sz w:val="26"/>
          <w:szCs w:val="26"/>
        </w:rPr>
        <w:t>нализ</w:t>
      </w:r>
      <w:r w:rsidR="007C251B">
        <w:rPr>
          <w:rFonts w:ascii="Times New Roman" w:hAnsi="Times New Roman"/>
          <w:b/>
          <w:sz w:val="26"/>
          <w:szCs w:val="26"/>
        </w:rPr>
        <w:t>а</w:t>
      </w:r>
      <w:r w:rsidR="00BA563A" w:rsidRPr="00BA563A">
        <w:rPr>
          <w:rFonts w:ascii="Times New Roman" w:hAnsi="Times New Roman"/>
          <w:b/>
          <w:sz w:val="26"/>
          <w:szCs w:val="26"/>
        </w:rPr>
        <w:t xml:space="preserve"> и оценк</w:t>
      </w:r>
      <w:r w:rsidR="007C251B">
        <w:rPr>
          <w:rFonts w:ascii="Times New Roman" w:hAnsi="Times New Roman"/>
          <w:b/>
          <w:sz w:val="26"/>
          <w:szCs w:val="26"/>
        </w:rPr>
        <w:t>и</w:t>
      </w:r>
      <w:r w:rsidR="00BA563A" w:rsidRPr="00BA563A">
        <w:rPr>
          <w:rFonts w:ascii="Times New Roman" w:hAnsi="Times New Roman"/>
          <w:b/>
          <w:sz w:val="26"/>
          <w:szCs w:val="26"/>
        </w:rPr>
        <w:t xml:space="preserve"> влияния государственной поддержки, предоставляемой за счет бюджетных средств, на показатели финансово-хозяйственной деятельности сельскохозяйственных товаропроизводителей и развитие регионального рынка сельскохозяйственной продукции в 2016–2018 годах</w:t>
      </w:r>
      <w:r w:rsidR="00BA563A" w:rsidRPr="00BA563A">
        <w:rPr>
          <w:rFonts w:ascii="Times New Roman" w:hAnsi="Times New Roman"/>
          <w:sz w:val="26"/>
          <w:szCs w:val="26"/>
        </w:rPr>
        <w:t xml:space="preserve"> установлено следующее.  </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 xml:space="preserve">В исследуемом периоде расходы областного бюджета на государственную поддержку агропромышленного комплекса Мурманской области исполнены на общую сумму 964 481,5 тыс. рублей, или на 96,4 % утвержденных бюджетных назначений. </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По сравнению с 2013 годом объем средств государственной поддержки в 2018 году в целом сократился на 293 561,1 тыс. рублей, или почти в 2 раза, в том числе за счет средств:</w:t>
      </w:r>
    </w:p>
    <w:p w:rsidR="00BA563A" w:rsidRPr="00BA563A" w:rsidRDefault="006443D9" w:rsidP="00BA563A">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A563A" w:rsidRPr="00BA563A">
        <w:rPr>
          <w:rFonts w:ascii="Times New Roman" w:hAnsi="Times New Roman"/>
          <w:sz w:val="26"/>
          <w:szCs w:val="26"/>
        </w:rPr>
        <w:t xml:space="preserve"> областного бюджета на 133 054,8 тыс. рублей, или на 31,9 процента</w:t>
      </w:r>
      <w:r>
        <w:rPr>
          <w:rFonts w:ascii="Times New Roman" w:hAnsi="Times New Roman"/>
          <w:sz w:val="26"/>
          <w:szCs w:val="26"/>
        </w:rPr>
        <w:t>;</w:t>
      </w:r>
      <w:r w:rsidR="00BA563A" w:rsidRPr="00BA563A">
        <w:rPr>
          <w:rFonts w:ascii="Times New Roman" w:hAnsi="Times New Roman"/>
          <w:sz w:val="26"/>
          <w:szCs w:val="26"/>
        </w:rPr>
        <w:t xml:space="preserve"> </w:t>
      </w:r>
    </w:p>
    <w:p w:rsidR="00BA563A" w:rsidRPr="00BA563A" w:rsidRDefault="006443D9" w:rsidP="00BA563A">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A563A" w:rsidRPr="00BA563A">
        <w:rPr>
          <w:rFonts w:ascii="Times New Roman" w:hAnsi="Times New Roman"/>
          <w:sz w:val="26"/>
          <w:szCs w:val="26"/>
        </w:rPr>
        <w:t xml:space="preserve"> федерального бюджета на 160 506,3 тыс. рублей, или на 80,9 процента.</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В 2018 году в общем объеме расходов областного бюджета удельный вес исполненных расходов на государственную поддержку агропромышленного комплекса Мурманской области составил 0,5 % и достиг наиболее низкого уровня, как в исследуемом периоде, так и за последние 6 лет.</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В течение 2016 – 2018 годов основные объемы государственной поддержки были направлены на поддержку отраслей животноводства на общую сумму 869 894,5 тыс. рублей, что составило 90,2 % общего объема средств областного и федерального бюджетов.</w:t>
      </w:r>
    </w:p>
    <w:p w:rsidR="009F0524" w:rsidRPr="009F0524" w:rsidRDefault="009F0524" w:rsidP="00BA563A">
      <w:pPr>
        <w:spacing w:after="0" w:line="240" w:lineRule="auto"/>
        <w:ind w:firstLine="709"/>
        <w:jc w:val="both"/>
        <w:rPr>
          <w:rFonts w:ascii="Times New Roman" w:hAnsi="Times New Roman"/>
          <w:sz w:val="10"/>
          <w:szCs w:val="10"/>
        </w:rPr>
      </w:pP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lastRenderedPageBreak/>
        <w:t>Основной объем государственной поддержки приходился на предоставление двух субсидий:</w:t>
      </w:r>
    </w:p>
    <w:p w:rsidR="00BA563A" w:rsidRPr="00BA563A" w:rsidRDefault="009F0524" w:rsidP="00BA563A">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A563A" w:rsidRPr="00BA563A">
        <w:rPr>
          <w:rFonts w:ascii="Times New Roman" w:hAnsi="Times New Roman"/>
          <w:sz w:val="26"/>
          <w:szCs w:val="26"/>
        </w:rPr>
        <w:t xml:space="preserve"> на продукцию животноводства сельскохозяйственным товаропроизводителям Мурманской области, удельный вес которой в общем объеме государственной поддержки за счет областного и федерального бюджетов составил 43,5 % (предоставляется только за счет средств областного бюджета);</w:t>
      </w:r>
    </w:p>
    <w:p w:rsidR="00BA563A" w:rsidRPr="00BA563A" w:rsidRDefault="009F0524" w:rsidP="00BA563A">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A563A" w:rsidRPr="00BA563A">
        <w:rPr>
          <w:rFonts w:ascii="Times New Roman" w:hAnsi="Times New Roman"/>
          <w:sz w:val="26"/>
          <w:szCs w:val="26"/>
        </w:rPr>
        <w:t xml:space="preserve"> сельскохозяйственным государственным областным (муниципальным) унитарным предприятиям на возмещение части затрат, связанных с приобретением кормов, удельный вес которой в общем объеме государственной поддержки за счет областного и федерального бюджетов составил 18,7 % (предоставляется только за счет средств областного бюджета и единственным получателем являлось ГОУСП «Тулома).</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 xml:space="preserve">Производство продукции сельского хозяйства в течение исследуемого периода ежегодно увеличивалось и максимального значения достигло в 2018 году в объеме </w:t>
      </w:r>
      <w:r w:rsidR="00BA7B8B">
        <w:rPr>
          <w:rFonts w:ascii="Times New Roman" w:hAnsi="Times New Roman"/>
          <w:sz w:val="26"/>
          <w:szCs w:val="26"/>
        </w:rPr>
        <w:t xml:space="preserve">         </w:t>
      </w:r>
      <w:r w:rsidRPr="00BA563A">
        <w:rPr>
          <w:rFonts w:ascii="Times New Roman" w:hAnsi="Times New Roman"/>
          <w:sz w:val="26"/>
          <w:szCs w:val="26"/>
        </w:rPr>
        <w:t xml:space="preserve">1 860,8 млн рублей. В структуре валовой продукции сельского хозяйства удельный вес продукции животноводства составил 72,3 % (в 2013 году – 78,0 %), продукции растениеводства - 27,7 процента (в 2013 году – 22,0 %). </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 xml:space="preserve">Вместе с тем по сравнению с 2013 годом производство продукции сельского хозяйства в 2018 году в целом сократилось на 1 142,9 млн рублей, или на 38,0 %, в том числе: </w:t>
      </w:r>
    </w:p>
    <w:p w:rsidR="00BA563A" w:rsidRPr="00BA563A" w:rsidRDefault="009F0524" w:rsidP="00BA563A">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A563A" w:rsidRPr="00BA563A">
        <w:rPr>
          <w:rFonts w:ascii="Times New Roman" w:hAnsi="Times New Roman"/>
          <w:sz w:val="26"/>
          <w:szCs w:val="26"/>
        </w:rPr>
        <w:t xml:space="preserve"> продукции животноводства на 1 034,6 млн рублей, или на 44,3 процента</w:t>
      </w:r>
      <w:r>
        <w:rPr>
          <w:rFonts w:ascii="Times New Roman" w:hAnsi="Times New Roman"/>
          <w:sz w:val="26"/>
          <w:szCs w:val="26"/>
        </w:rPr>
        <w:t>;</w:t>
      </w:r>
    </w:p>
    <w:p w:rsidR="00BA563A" w:rsidRDefault="009F0524" w:rsidP="00BA563A">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A563A" w:rsidRPr="00BA563A">
        <w:rPr>
          <w:rFonts w:ascii="Times New Roman" w:hAnsi="Times New Roman"/>
          <w:sz w:val="26"/>
          <w:szCs w:val="26"/>
        </w:rPr>
        <w:t xml:space="preserve"> продукции растениеводства на 132,9 млн рублей, или на 22,0 процента.</w:t>
      </w:r>
    </w:p>
    <w:p w:rsidR="009F0524" w:rsidRPr="009F0524" w:rsidRDefault="009F0524" w:rsidP="00BA563A">
      <w:pPr>
        <w:spacing w:after="0" w:line="240" w:lineRule="auto"/>
        <w:ind w:firstLine="709"/>
        <w:jc w:val="both"/>
        <w:rPr>
          <w:rFonts w:ascii="Times New Roman" w:hAnsi="Times New Roman"/>
          <w:sz w:val="12"/>
          <w:szCs w:val="12"/>
        </w:rPr>
      </w:pP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 xml:space="preserve">Мурманская область относится к регионам с низким уровнем самообеспечения продовольствием. По данным </w:t>
      </w:r>
      <w:proofErr w:type="spellStart"/>
      <w:r w:rsidRPr="00BA563A">
        <w:rPr>
          <w:rFonts w:ascii="Times New Roman" w:hAnsi="Times New Roman"/>
          <w:sz w:val="26"/>
          <w:szCs w:val="26"/>
        </w:rPr>
        <w:t>Мурманскстата</w:t>
      </w:r>
      <w:proofErr w:type="spellEnd"/>
      <w:r w:rsidRPr="00BA563A">
        <w:rPr>
          <w:rFonts w:ascii="Times New Roman" w:hAnsi="Times New Roman"/>
          <w:sz w:val="26"/>
          <w:szCs w:val="26"/>
        </w:rPr>
        <w:t xml:space="preserve"> в течение исследуемого периода наблюдается увеличение доли продукции местных производителей в объеме потребления населением молока до 11,0 % в 2018 году,  мяса и мясопродуктов до </w:t>
      </w:r>
      <w:r w:rsidR="008D005D">
        <w:rPr>
          <w:rFonts w:ascii="Times New Roman" w:hAnsi="Times New Roman"/>
          <w:sz w:val="26"/>
          <w:szCs w:val="26"/>
        </w:rPr>
        <w:t xml:space="preserve">         </w:t>
      </w:r>
      <w:r w:rsidRPr="00BA563A">
        <w:rPr>
          <w:rFonts w:ascii="Times New Roman" w:hAnsi="Times New Roman"/>
          <w:sz w:val="26"/>
          <w:szCs w:val="26"/>
        </w:rPr>
        <w:t xml:space="preserve">2,2 % в 2018 году и снижение по яйцам и яйцепродуктам до 2,6 % в 2017 году. </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Необходимо отметить, что уровень обеспечения потребителей Мурманской области продукцией местных производителей по сравнению с 2013 годом сократился: по мясу и мясопродуктам на 86,1 %, яйцам и яйцепродуктам на 82,0 %, молоку на 16,3 процента.</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В течение исследуемого периода финансовые результаты анализируемых сельскохозяйственных товаропроизводителей имели разнонаправленную тенденцию, как в сторону их улучшения, так и в сторону их ухудшения.</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 xml:space="preserve">Только у одного получателя государственной поддержки ООО «Полярная звезда» в течение всего исследуемого периода рентабельность продукции даже с учетом предоставленных субсидий оставалась отрицательной (убыточность продукции). </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Основной причиной снижения показателей рентабельности у сельскохозяйственных товаропроизводителей являлся опережающий рост себестоимости продукции по сравнению с ценами на реализуемую продукцию.</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На ухудшение финансовых показателей деятельности сельскохозяйственных товаропроизводителей оказали влияние рост разными темпами цен на корма, топливо, рост тарифов на электроэнергию, увеличение расходов на оплату труда в районах Крайнего Севера, а также состояние основных фондов, требующих с каждым годом увеличения затрат на их содержание и обслуживание в связи с устареванием и снижением износостойкости при эксплуатации в условиях производства на Крайнем Севере.</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lastRenderedPageBreak/>
        <w:t>Несмотря на рост ставок субсидии на все виды продукции животноводства на 12,8 %, доля возмещаемых за счет субсидии затрат производителя сократилась на все виды продукции, за исключением «яйцо куриное», в связи с ростом себестоимости каждого вида продукции более высокими темпами.</w:t>
      </w:r>
    </w:p>
    <w:p w:rsidR="00BA563A" w:rsidRPr="00BA563A" w:rsidRDefault="00A86F68" w:rsidP="00BA563A">
      <w:pPr>
        <w:spacing w:after="0" w:line="240" w:lineRule="auto"/>
        <w:ind w:firstLine="709"/>
        <w:jc w:val="both"/>
        <w:rPr>
          <w:rFonts w:ascii="Times New Roman" w:hAnsi="Times New Roman"/>
          <w:sz w:val="26"/>
          <w:szCs w:val="26"/>
        </w:rPr>
      </w:pPr>
      <w:r>
        <w:rPr>
          <w:rFonts w:ascii="Times New Roman" w:hAnsi="Times New Roman"/>
          <w:sz w:val="26"/>
          <w:szCs w:val="26"/>
        </w:rPr>
        <w:t>О</w:t>
      </w:r>
      <w:r w:rsidR="00BA563A" w:rsidRPr="00BA563A">
        <w:rPr>
          <w:rFonts w:ascii="Times New Roman" w:hAnsi="Times New Roman"/>
          <w:sz w:val="26"/>
          <w:szCs w:val="26"/>
        </w:rPr>
        <w:t>пределение объема фактически предоставляемых бюджетных средств на продукцию животноводства не зависит от состава затрат на производство и динамики ее изменения по каждому виду сельхозпродукции.</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 xml:space="preserve">Продукция сельхозпроизводителей Мурманской области в связи с более высокой себестоимостью менее </w:t>
      </w:r>
      <w:proofErr w:type="spellStart"/>
      <w:r w:rsidRPr="00BA563A">
        <w:rPr>
          <w:rFonts w:ascii="Times New Roman" w:hAnsi="Times New Roman"/>
          <w:sz w:val="26"/>
          <w:szCs w:val="26"/>
        </w:rPr>
        <w:t>конкурентноспособна</w:t>
      </w:r>
      <w:proofErr w:type="spellEnd"/>
      <w:r w:rsidRPr="00BA563A">
        <w:rPr>
          <w:rFonts w:ascii="Times New Roman" w:hAnsi="Times New Roman"/>
          <w:sz w:val="26"/>
          <w:szCs w:val="26"/>
        </w:rPr>
        <w:t xml:space="preserve"> по цене по сравнению продукцией сельского хозяйства, поставляемой из других регионов Российской Федерации.</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Финансовое положение отдельных региональных производителей ухудшается в связи с ограниченными возможностями реализации продукции через объекты нестационарной торговли, а также, по мнению сельскохозяйственных товаропроизводителей, невыгодными экономическими условиями, предлагаемыми хозяйствующими субъектами, имеющими торговые сети.</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Также на финансовые результаты деятельности сельскохозяйственных товаропроизводителей, осуществляющих выпуск продукции на территории Мурманской области, оказывает влияние наличие различной производственной инфраструктуры и индивидуальные особенности ведения хозяйственной деятельности.</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Прямое влияние субсидии, предоставляемой на продукцию животноводства, на объемы производства и реализации продукции животноводства отсутствуют.</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 xml:space="preserve">Экономический эффект государственной поддержки агропромышленного комплекса Мурманской области незначителен. Выделяемые из областного бюджета средства на государственную поддержку сельскохозяйственных производителей не оказывают прямого реального воздействия на объемы производства продукции агропромышленного комплекса Мурманской области. </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 xml:space="preserve">Система государственной поддержки сельскохозяйственных товаропроизводителей в регионе основывается на ограниченных финансовых возможностях бюджета Мурманской области и не учитывает реальную оценку </w:t>
      </w:r>
      <w:proofErr w:type="spellStart"/>
      <w:r w:rsidRPr="00BA563A">
        <w:rPr>
          <w:rFonts w:ascii="Times New Roman" w:hAnsi="Times New Roman"/>
          <w:sz w:val="26"/>
          <w:szCs w:val="26"/>
        </w:rPr>
        <w:t>затратоемкости</w:t>
      </w:r>
      <w:proofErr w:type="spellEnd"/>
      <w:r w:rsidRPr="00BA563A">
        <w:rPr>
          <w:rFonts w:ascii="Times New Roman" w:hAnsi="Times New Roman"/>
          <w:sz w:val="26"/>
          <w:szCs w:val="26"/>
        </w:rPr>
        <w:t xml:space="preserve"> сельскохозяйственного производства в природно-климатических условиях Крайнего Севера и диспаритета цен на энергоресурсы, корма, технику и продукцию животноводства.</w:t>
      </w:r>
    </w:p>
    <w:p w:rsidR="00BA563A" w:rsidRPr="00BA563A" w:rsidRDefault="00BA563A" w:rsidP="00BA563A">
      <w:pPr>
        <w:spacing w:after="0" w:line="240" w:lineRule="auto"/>
        <w:ind w:firstLine="709"/>
        <w:jc w:val="both"/>
        <w:rPr>
          <w:rFonts w:ascii="Times New Roman" w:hAnsi="Times New Roman"/>
          <w:sz w:val="26"/>
          <w:szCs w:val="26"/>
        </w:rPr>
      </w:pPr>
      <w:r w:rsidRPr="00BA563A">
        <w:rPr>
          <w:rFonts w:ascii="Times New Roman" w:hAnsi="Times New Roman"/>
          <w:sz w:val="26"/>
          <w:szCs w:val="26"/>
        </w:rPr>
        <w:t>Таким образом, государственная поддержка сельскохозяйственного производства существенного влияния на развитие отрасли не оказывает, идет на пополнение оборотных средств получателей субсидий и лишь стабилизирует доходы сельскохозяйственных товаропроизводителей.</w:t>
      </w:r>
    </w:p>
    <w:p w:rsidR="00BA563A" w:rsidRPr="00BA563A" w:rsidRDefault="00D63953" w:rsidP="00BA563A">
      <w:pPr>
        <w:spacing w:before="120" w:after="0" w:line="240" w:lineRule="auto"/>
        <w:ind w:firstLine="709"/>
        <w:jc w:val="both"/>
        <w:rPr>
          <w:rFonts w:ascii="Times New Roman" w:hAnsi="Times New Roman"/>
          <w:sz w:val="26"/>
          <w:szCs w:val="26"/>
        </w:rPr>
      </w:pPr>
      <w:r>
        <w:rPr>
          <w:rFonts w:ascii="Times New Roman" w:hAnsi="Times New Roman"/>
          <w:b/>
          <w:sz w:val="26"/>
          <w:szCs w:val="26"/>
        </w:rPr>
        <w:t>4</w:t>
      </w:r>
      <w:r w:rsidR="00EB2C29" w:rsidRPr="002C49D3">
        <w:rPr>
          <w:rFonts w:ascii="Times New Roman" w:hAnsi="Times New Roman"/>
          <w:b/>
          <w:sz w:val="26"/>
          <w:szCs w:val="26"/>
        </w:rPr>
        <w:t>.5.</w:t>
      </w:r>
      <w:r w:rsidR="00EB2C29">
        <w:rPr>
          <w:rFonts w:ascii="Times New Roman" w:hAnsi="Times New Roman"/>
          <w:sz w:val="26"/>
          <w:szCs w:val="26"/>
        </w:rPr>
        <w:t xml:space="preserve"> </w:t>
      </w:r>
      <w:r w:rsidR="00BA563A" w:rsidRPr="00BA563A">
        <w:rPr>
          <w:rFonts w:ascii="Times New Roman" w:hAnsi="Times New Roman"/>
          <w:sz w:val="26"/>
          <w:szCs w:val="26"/>
        </w:rPr>
        <w:t xml:space="preserve">По результатам </w:t>
      </w:r>
      <w:r w:rsidR="007C251B" w:rsidRPr="007C251B">
        <w:rPr>
          <w:rFonts w:ascii="Times New Roman" w:hAnsi="Times New Roman"/>
          <w:b/>
          <w:bCs/>
          <w:sz w:val="26"/>
          <w:szCs w:val="26"/>
        </w:rPr>
        <w:t>а</w:t>
      </w:r>
      <w:r w:rsidR="00BA563A" w:rsidRPr="00BA563A">
        <w:rPr>
          <w:rFonts w:ascii="Times New Roman" w:hAnsi="Times New Roman"/>
          <w:b/>
          <w:sz w:val="26"/>
          <w:szCs w:val="26"/>
        </w:rPr>
        <w:t>нализ</w:t>
      </w:r>
      <w:r w:rsidR="007C251B">
        <w:rPr>
          <w:rFonts w:ascii="Times New Roman" w:hAnsi="Times New Roman"/>
          <w:b/>
          <w:sz w:val="26"/>
          <w:szCs w:val="26"/>
        </w:rPr>
        <w:t>а</w:t>
      </w:r>
      <w:r w:rsidR="00BA563A" w:rsidRPr="00BA563A">
        <w:rPr>
          <w:rFonts w:ascii="Times New Roman" w:hAnsi="Times New Roman"/>
          <w:b/>
          <w:sz w:val="26"/>
          <w:szCs w:val="26"/>
        </w:rPr>
        <w:t xml:space="preserve"> и оценк</w:t>
      </w:r>
      <w:r w:rsidR="007C251B">
        <w:rPr>
          <w:rFonts w:ascii="Times New Roman" w:hAnsi="Times New Roman"/>
          <w:b/>
          <w:sz w:val="26"/>
          <w:szCs w:val="26"/>
        </w:rPr>
        <w:t>и</w:t>
      </w:r>
      <w:r w:rsidR="00BA563A" w:rsidRPr="00BA563A">
        <w:rPr>
          <w:rFonts w:ascii="Times New Roman" w:hAnsi="Times New Roman"/>
          <w:b/>
          <w:sz w:val="26"/>
          <w:szCs w:val="26"/>
        </w:rPr>
        <w:t xml:space="preserve"> влияния компенсации выпадающих доходов, предоставляемой из областного бюджета организациям, оказывающим услуги водоснабжения и водоотведения по тарифам, не обеспечивающим возмещение издержек, на показатели финансово-хозяйственной деятельности ресурсоснабжающих организаций в 2015 – 2018 годах</w:t>
      </w:r>
      <w:r w:rsidR="00BA563A" w:rsidRPr="00BA563A">
        <w:rPr>
          <w:rFonts w:ascii="Times New Roman" w:hAnsi="Times New Roman"/>
          <w:sz w:val="26"/>
          <w:szCs w:val="26"/>
        </w:rPr>
        <w:t xml:space="preserve"> установлено следующее.  </w:t>
      </w:r>
    </w:p>
    <w:p w:rsidR="00BA563A" w:rsidRPr="00BA563A" w:rsidRDefault="00BA563A" w:rsidP="00BA563A">
      <w:pPr>
        <w:spacing w:before="40" w:after="0" w:line="240" w:lineRule="auto"/>
        <w:ind w:firstLine="709"/>
        <w:jc w:val="both"/>
        <w:rPr>
          <w:rFonts w:ascii="Times New Roman" w:eastAsia="Calibri" w:hAnsi="Times New Roman"/>
          <w:sz w:val="26"/>
          <w:szCs w:val="26"/>
          <w:lang w:eastAsia="x-none"/>
        </w:rPr>
      </w:pPr>
      <w:r w:rsidRPr="00BA563A">
        <w:rPr>
          <w:rFonts w:ascii="Times New Roman" w:eastAsia="Calibri" w:hAnsi="Times New Roman"/>
          <w:sz w:val="26"/>
          <w:szCs w:val="26"/>
          <w:lang w:eastAsia="x-none"/>
        </w:rPr>
        <w:t xml:space="preserve">За период с 2015 по 2018 годы общий объем средств областного бюджета, предоставленных в виде субсидии на возмещение затрат (недополученных доходов) организациям, предоставляющим населению услуги водоснабжения и водоотведения по льготным тарифам, составил 1 084 834,3 тыс. рублей, что в среднем ежегодно составляло 0,5 % общего объема исполненных расходов областного бюджета. </w:t>
      </w:r>
    </w:p>
    <w:p w:rsidR="00BA563A" w:rsidRPr="00BA563A" w:rsidRDefault="00BA563A" w:rsidP="00BA563A">
      <w:pPr>
        <w:spacing w:before="40" w:after="0" w:line="240" w:lineRule="auto"/>
        <w:ind w:firstLine="709"/>
        <w:jc w:val="both"/>
        <w:rPr>
          <w:rFonts w:ascii="Times New Roman" w:eastAsia="Calibri" w:hAnsi="Times New Roman"/>
          <w:sz w:val="26"/>
          <w:szCs w:val="26"/>
          <w:lang w:eastAsia="x-none"/>
        </w:rPr>
      </w:pPr>
      <w:r w:rsidRPr="00BA563A">
        <w:rPr>
          <w:rFonts w:ascii="Times New Roman" w:eastAsia="Calibri" w:hAnsi="Times New Roman"/>
          <w:sz w:val="26"/>
          <w:szCs w:val="26"/>
          <w:lang w:eastAsia="x-none"/>
        </w:rPr>
        <w:lastRenderedPageBreak/>
        <w:t xml:space="preserve">В течение исследуемого периода получателями субсидии из областного бюджета стали 33 организации, осуществляющие водоснабжение и водоотведение, из которых только 15 ресурсоснабжающих организаций ежегодно являлись получателями субсидий на протяжении 2015 – 2018 годов. </w:t>
      </w:r>
    </w:p>
    <w:p w:rsidR="00BA563A" w:rsidRPr="00BA563A" w:rsidRDefault="00BA563A" w:rsidP="009E1B1C">
      <w:pPr>
        <w:spacing w:after="0" w:line="240" w:lineRule="auto"/>
        <w:ind w:firstLine="709"/>
        <w:jc w:val="both"/>
        <w:rPr>
          <w:rFonts w:ascii="Times New Roman" w:eastAsia="Calibri" w:hAnsi="Times New Roman"/>
          <w:sz w:val="26"/>
          <w:szCs w:val="26"/>
          <w:lang w:eastAsia="x-none"/>
        </w:rPr>
      </w:pPr>
      <w:r w:rsidRPr="00BA563A">
        <w:rPr>
          <w:rFonts w:ascii="Times New Roman" w:eastAsia="Calibri" w:hAnsi="Times New Roman"/>
          <w:sz w:val="26"/>
          <w:szCs w:val="26"/>
          <w:lang w:eastAsia="x-none"/>
        </w:rPr>
        <w:t>Расчет размера субсидии на возмещение затрат (недополученных доходов) организациям, предоставляющим населению услуги водоснабжения и водоотведения по льготным тарифам, осуществлялся с соблюдением положений Методики расчета субсидии, и имел прямую зависимость от:</w:t>
      </w:r>
    </w:p>
    <w:p w:rsidR="00BA563A" w:rsidRPr="00BA563A" w:rsidRDefault="009F0524" w:rsidP="009E1B1C">
      <w:pPr>
        <w:spacing w:after="0" w:line="240" w:lineRule="auto"/>
        <w:ind w:firstLine="709"/>
        <w:jc w:val="both"/>
        <w:rPr>
          <w:rFonts w:ascii="Times New Roman" w:eastAsia="Calibri" w:hAnsi="Times New Roman"/>
          <w:sz w:val="26"/>
          <w:szCs w:val="26"/>
          <w:lang w:eastAsia="x-none"/>
        </w:rPr>
      </w:pPr>
      <w:r>
        <w:rPr>
          <w:rFonts w:ascii="Times New Roman" w:eastAsia="Calibri" w:hAnsi="Times New Roman"/>
          <w:sz w:val="26"/>
          <w:szCs w:val="26"/>
          <w:lang w:eastAsia="x-none"/>
        </w:rPr>
        <w:sym w:font="Symbol" w:char="F0B7"/>
      </w:r>
      <w:r w:rsidR="00BA563A" w:rsidRPr="00BA563A">
        <w:rPr>
          <w:rFonts w:ascii="Times New Roman" w:eastAsia="Calibri" w:hAnsi="Times New Roman"/>
          <w:sz w:val="26"/>
          <w:szCs w:val="26"/>
          <w:lang w:eastAsia="x-none"/>
        </w:rPr>
        <w:t xml:space="preserve"> фактического объема услуг по водоснабжению и водоотведению, отпущенного населению Мурманской области, но не более объема, принятого Комитетом по тарифному регулированию Мурманской области при установлении тарифов на соответствующий финансовый год;</w:t>
      </w:r>
    </w:p>
    <w:p w:rsidR="00BA563A" w:rsidRPr="00BA563A" w:rsidRDefault="009F0524" w:rsidP="009E1B1C">
      <w:pPr>
        <w:spacing w:after="0" w:line="240" w:lineRule="auto"/>
        <w:ind w:firstLine="709"/>
        <w:jc w:val="both"/>
        <w:rPr>
          <w:rFonts w:ascii="Times New Roman" w:eastAsia="Calibri" w:hAnsi="Times New Roman"/>
          <w:sz w:val="26"/>
          <w:szCs w:val="26"/>
          <w:lang w:eastAsia="x-none"/>
        </w:rPr>
      </w:pPr>
      <w:r>
        <w:rPr>
          <w:rFonts w:ascii="Times New Roman" w:eastAsia="Calibri" w:hAnsi="Times New Roman"/>
          <w:sz w:val="26"/>
          <w:szCs w:val="26"/>
          <w:lang w:eastAsia="x-none"/>
        </w:rPr>
        <w:sym w:font="Symbol" w:char="F0B7"/>
      </w:r>
      <w:r w:rsidR="00BA563A" w:rsidRPr="00BA563A">
        <w:rPr>
          <w:rFonts w:ascii="Times New Roman" w:eastAsia="Calibri" w:hAnsi="Times New Roman"/>
          <w:sz w:val="26"/>
          <w:szCs w:val="26"/>
          <w:lang w:eastAsia="x-none"/>
        </w:rPr>
        <w:t xml:space="preserve"> разницы между тарифами на водоснабжение, водоотведение, установленными Комитетом по тарифному регулированию Мурманской области для населения, и стоимости услуг по водоснабжению, водоотведению для нужд населения по расчету, произведенному Комитетом по тарифному регулированию Мурманской области одним из методов регулирования тарифов.</w:t>
      </w:r>
    </w:p>
    <w:p w:rsidR="00BA563A" w:rsidRPr="00BA563A" w:rsidRDefault="00BA563A" w:rsidP="00BA563A">
      <w:pPr>
        <w:spacing w:before="40" w:after="0" w:line="240" w:lineRule="auto"/>
        <w:ind w:firstLine="709"/>
        <w:jc w:val="both"/>
        <w:rPr>
          <w:rFonts w:ascii="Times New Roman" w:eastAsia="Calibri" w:hAnsi="Times New Roman"/>
          <w:sz w:val="26"/>
          <w:szCs w:val="26"/>
          <w:lang w:eastAsia="x-none"/>
        </w:rPr>
      </w:pPr>
      <w:r w:rsidRPr="00BA563A">
        <w:rPr>
          <w:rFonts w:ascii="Times New Roman" w:eastAsia="Calibri" w:hAnsi="Times New Roman"/>
          <w:sz w:val="26"/>
          <w:szCs w:val="26"/>
          <w:lang w:eastAsia="x-none"/>
        </w:rPr>
        <w:t>На размер устанавливаемых тарифов и уровень покрытия «экономически обоснованных» тарифов на водоснабжение, водоотведение повлияло ограничение повышения размера вносимой гражданами платы за коммунальные услуги, предусмотренное статьей 157.1 Жилищного кодекса РФ.</w:t>
      </w:r>
    </w:p>
    <w:p w:rsidR="00BA563A" w:rsidRPr="00BA563A" w:rsidRDefault="00BA563A" w:rsidP="00BA563A">
      <w:pPr>
        <w:spacing w:before="40" w:after="0" w:line="240" w:lineRule="auto"/>
        <w:ind w:firstLine="709"/>
        <w:jc w:val="both"/>
        <w:rPr>
          <w:rFonts w:ascii="Times New Roman" w:eastAsia="Calibri" w:hAnsi="Times New Roman"/>
          <w:sz w:val="26"/>
          <w:szCs w:val="26"/>
          <w:lang w:eastAsia="x-none"/>
        </w:rPr>
      </w:pPr>
      <w:r w:rsidRPr="00BA563A">
        <w:rPr>
          <w:rFonts w:ascii="Times New Roman" w:eastAsia="Calibri" w:hAnsi="Times New Roman"/>
          <w:sz w:val="26"/>
          <w:szCs w:val="26"/>
          <w:lang w:eastAsia="x-none"/>
        </w:rPr>
        <w:t>Предельные (максимальные) индексы изменения размера вносимой гражданами платы за коммунальные услуги, утвержденные в 35 муниципальных образованиях Мурманской области на основании индексов изменения размера вносимой гражданами платы за коммунальные услуги в среднем по Мурманской области (20,4 %), за период 2015 – 2018 годов составили от 30,4 % до 66,3 процента.</w:t>
      </w:r>
    </w:p>
    <w:p w:rsidR="00BA563A" w:rsidRPr="00BA563A" w:rsidRDefault="00BA563A" w:rsidP="00BA563A">
      <w:pPr>
        <w:spacing w:before="40" w:after="0" w:line="240" w:lineRule="auto"/>
        <w:ind w:firstLine="709"/>
        <w:jc w:val="both"/>
        <w:rPr>
          <w:rFonts w:ascii="Times New Roman" w:eastAsia="Calibri" w:hAnsi="Times New Roman"/>
          <w:sz w:val="26"/>
          <w:szCs w:val="26"/>
          <w:lang w:eastAsia="x-none"/>
        </w:rPr>
      </w:pPr>
      <w:r w:rsidRPr="00BA563A">
        <w:rPr>
          <w:rFonts w:ascii="Times New Roman" w:eastAsia="Calibri" w:hAnsi="Times New Roman"/>
          <w:sz w:val="26"/>
          <w:szCs w:val="26"/>
          <w:lang w:eastAsia="x-none"/>
        </w:rPr>
        <w:t>Вместе с тем, рост тарифов в сфере водоснабжения и водоотведения для населения в большинстве случаев осуществлялся выше утвержденного индекса, что допускается в части конкретной коммунальной услуги.</w:t>
      </w:r>
    </w:p>
    <w:p w:rsidR="00BA563A" w:rsidRPr="00BA563A" w:rsidRDefault="00BA563A" w:rsidP="004124F7">
      <w:pPr>
        <w:spacing w:after="0" w:line="240" w:lineRule="auto"/>
        <w:ind w:firstLine="709"/>
        <w:jc w:val="both"/>
        <w:rPr>
          <w:rFonts w:ascii="Times New Roman" w:eastAsia="Calibri" w:hAnsi="Times New Roman"/>
          <w:sz w:val="26"/>
          <w:szCs w:val="26"/>
          <w:lang w:eastAsia="x-none"/>
        </w:rPr>
      </w:pPr>
      <w:r w:rsidRPr="00BA563A">
        <w:rPr>
          <w:rFonts w:ascii="Times New Roman" w:eastAsia="Calibri" w:hAnsi="Times New Roman"/>
          <w:sz w:val="26"/>
          <w:szCs w:val="26"/>
          <w:lang w:eastAsia="en-US"/>
        </w:rPr>
        <w:t>Рост тарифов на водоснабжение для населения за период 2015 - 2018 годов составил от 108,5 % до 672,8 %</w:t>
      </w:r>
      <w:r w:rsidR="004124F7">
        <w:rPr>
          <w:rFonts w:ascii="Times New Roman" w:eastAsia="Calibri" w:hAnsi="Times New Roman"/>
          <w:sz w:val="26"/>
          <w:szCs w:val="26"/>
          <w:lang w:eastAsia="en-US"/>
        </w:rPr>
        <w:t xml:space="preserve">. </w:t>
      </w:r>
      <w:r w:rsidRPr="00BA563A">
        <w:rPr>
          <w:rFonts w:ascii="Times New Roman" w:eastAsia="Calibri" w:hAnsi="Times New Roman"/>
          <w:sz w:val="26"/>
          <w:szCs w:val="26"/>
          <w:lang w:eastAsia="x-none"/>
        </w:rPr>
        <w:t>Рост тарифов на водоотведение для населения за 2015 - 2018 годы составил от 110,0 % до 518,2 %</w:t>
      </w:r>
      <w:r w:rsidR="004124F7">
        <w:rPr>
          <w:rFonts w:ascii="Times New Roman" w:eastAsia="Calibri" w:hAnsi="Times New Roman"/>
          <w:sz w:val="26"/>
          <w:szCs w:val="26"/>
          <w:lang w:eastAsia="x-none"/>
        </w:rPr>
        <w:t>.</w:t>
      </w:r>
    </w:p>
    <w:p w:rsidR="00BA563A" w:rsidRPr="00BA563A" w:rsidRDefault="00BA563A" w:rsidP="00BA563A">
      <w:pPr>
        <w:spacing w:before="40" w:after="0" w:line="240" w:lineRule="auto"/>
        <w:ind w:firstLine="709"/>
        <w:jc w:val="both"/>
        <w:rPr>
          <w:rFonts w:ascii="Times New Roman" w:eastAsia="Calibri" w:hAnsi="Times New Roman"/>
          <w:sz w:val="26"/>
          <w:szCs w:val="26"/>
          <w:lang w:eastAsia="x-none"/>
        </w:rPr>
      </w:pPr>
      <w:r w:rsidRPr="00BA563A">
        <w:rPr>
          <w:rFonts w:ascii="Times New Roman" w:eastAsia="Calibri" w:hAnsi="Times New Roman"/>
          <w:sz w:val="26"/>
          <w:szCs w:val="26"/>
          <w:lang w:eastAsia="x-none"/>
        </w:rPr>
        <w:t>В течение исследуемого периода по анализируемым ресурсоснабжающим организациям уровень покрытия тарифами, устанавливаемыми Комитетом по тарифному регулированию Мурманской области для населения, «экономически обоснованных» тарифов, рассчитываемых Комитетом по тарифному регулированию Мурманской области, составлял от 30,7 % до 90,1 процента.</w:t>
      </w:r>
    </w:p>
    <w:p w:rsidR="00BA563A" w:rsidRPr="00BA563A" w:rsidRDefault="00BA563A" w:rsidP="00BA563A">
      <w:pPr>
        <w:spacing w:before="40" w:after="0" w:line="240" w:lineRule="auto"/>
        <w:ind w:firstLine="709"/>
        <w:jc w:val="both"/>
        <w:rPr>
          <w:rFonts w:ascii="Times New Roman" w:eastAsia="Calibri" w:hAnsi="Times New Roman"/>
          <w:sz w:val="26"/>
          <w:szCs w:val="26"/>
          <w:lang w:eastAsia="x-none"/>
        </w:rPr>
      </w:pPr>
      <w:r w:rsidRPr="00BA563A">
        <w:rPr>
          <w:rFonts w:ascii="Times New Roman" w:eastAsia="Calibri" w:hAnsi="Times New Roman"/>
          <w:sz w:val="26"/>
          <w:szCs w:val="26"/>
          <w:lang w:eastAsia="x-none"/>
        </w:rPr>
        <w:t>У исследуемых ресурсоснабжающих организаций произошло существенное увеличение выручки от реализации по оказанию услуг в сфере водоснабжения и водоотведения, что в основном обусловлено ежегодным ростом тарифов несмотря на снижение объемов отпуска коммунальных ресурсов</w:t>
      </w:r>
      <w:r w:rsidR="004124F7">
        <w:rPr>
          <w:rFonts w:ascii="Times New Roman" w:eastAsia="Calibri" w:hAnsi="Times New Roman"/>
          <w:sz w:val="26"/>
          <w:szCs w:val="26"/>
          <w:lang w:eastAsia="x-none"/>
        </w:rPr>
        <w:t>.</w:t>
      </w:r>
    </w:p>
    <w:p w:rsidR="00BA563A" w:rsidRPr="00BA563A" w:rsidRDefault="00BA563A" w:rsidP="00BA563A">
      <w:pPr>
        <w:spacing w:before="40" w:after="0" w:line="240" w:lineRule="auto"/>
        <w:ind w:firstLine="709"/>
        <w:jc w:val="both"/>
        <w:rPr>
          <w:rFonts w:ascii="Times New Roman" w:eastAsia="Calibri" w:hAnsi="Times New Roman"/>
          <w:sz w:val="26"/>
          <w:szCs w:val="26"/>
          <w:lang w:eastAsia="x-none"/>
        </w:rPr>
      </w:pPr>
      <w:r w:rsidRPr="006F6466">
        <w:rPr>
          <w:rFonts w:ascii="Times New Roman" w:eastAsia="Calibri" w:hAnsi="Times New Roman"/>
          <w:sz w:val="26"/>
          <w:szCs w:val="26"/>
          <w:lang w:eastAsia="x-none"/>
        </w:rPr>
        <w:t>Сравнительный анализ объемов субсидий, предоставленных из областного бюджета, с полученными финансовыми результатами деятельности ресурсоснабжающих организаций в исследуемом периоде показал</w:t>
      </w:r>
      <w:r w:rsidR="006F6466">
        <w:rPr>
          <w:rFonts w:ascii="Times New Roman" w:eastAsia="Calibri" w:hAnsi="Times New Roman"/>
          <w:sz w:val="26"/>
          <w:szCs w:val="26"/>
          <w:lang w:eastAsia="x-none"/>
        </w:rPr>
        <w:t xml:space="preserve">, что </w:t>
      </w:r>
      <w:r w:rsidRPr="00BA563A">
        <w:rPr>
          <w:rFonts w:ascii="Times New Roman" w:eastAsia="Calibri" w:hAnsi="Times New Roman"/>
          <w:sz w:val="26"/>
          <w:szCs w:val="26"/>
          <w:lang w:eastAsia="x-none"/>
        </w:rPr>
        <w:t xml:space="preserve">имеют место факты, когда субсидия, предоставляемая </w:t>
      </w:r>
      <w:proofErr w:type="gramStart"/>
      <w:r w:rsidRPr="00BA563A">
        <w:rPr>
          <w:rFonts w:ascii="Times New Roman" w:eastAsia="Calibri" w:hAnsi="Times New Roman"/>
          <w:sz w:val="26"/>
          <w:szCs w:val="26"/>
          <w:lang w:eastAsia="x-none"/>
        </w:rPr>
        <w:t>из областного бюджета</w:t>
      </w:r>
      <w:proofErr w:type="gramEnd"/>
      <w:r w:rsidRPr="00BA563A">
        <w:rPr>
          <w:rFonts w:ascii="Times New Roman" w:eastAsia="Calibri" w:hAnsi="Times New Roman"/>
          <w:sz w:val="26"/>
          <w:szCs w:val="26"/>
          <w:lang w:eastAsia="x-none"/>
        </w:rPr>
        <w:t xml:space="preserve"> возмещает ресурсоснабжающим организациям затраты (недополученные доходы):</w:t>
      </w:r>
    </w:p>
    <w:p w:rsidR="00BA563A" w:rsidRPr="00BA563A" w:rsidRDefault="00444319" w:rsidP="00BA563A">
      <w:pPr>
        <w:spacing w:after="0" w:line="240" w:lineRule="auto"/>
        <w:ind w:firstLine="709"/>
        <w:jc w:val="both"/>
        <w:rPr>
          <w:rFonts w:ascii="Times New Roman" w:eastAsia="Calibri" w:hAnsi="Times New Roman"/>
          <w:sz w:val="26"/>
          <w:szCs w:val="26"/>
          <w:lang w:eastAsia="en-US"/>
        </w:rPr>
      </w:pPr>
      <w:r>
        <w:rPr>
          <w:rFonts w:ascii="Times New Roman" w:eastAsia="Calibri" w:hAnsi="Times New Roman"/>
          <w:sz w:val="26"/>
          <w:szCs w:val="26"/>
          <w:lang w:eastAsia="en-US"/>
        </w:rPr>
        <w:sym w:font="Symbol" w:char="F0B7"/>
      </w:r>
      <w:r w:rsidR="00BA563A" w:rsidRPr="00BA563A">
        <w:rPr>
          <w:rFonts w:ascii="Times New Roman" w:eastAsia="Calibri" w:hAnsi="Times New Roman"/>
          <w:sz w:val="26"/>
          <w:szCs w:val="26"/>
          <w:lang w:eastAsia="en-US"/>
        </w:rPr>
        <w:t xml:space="preserve"> частично (не в полном объеме)</w:t>
      </w:r>
      <w:r w:rsidR="00772E03">
        <w:rPr>
          <w:rFonts w:ascii="Times New Roman" w:eastAsia="Calibri" w:hAnsi="Times New Roman"/>
          <w:sz w:val="26"/>
          <w:szCs w:val="26"/>
          <w:lang w:eastAsia="en-US"/>
        </w:rPr>
        <w:t>;</w:t>
      </w:r>
    </w:p>
    <w:p w:rsidR="00BA563A" w:rsidRPr="00BA563A" w:rsidRDefault="00444319" w:rsidP="00BA563A">
      <w:pPr>
        <w:spacing w:after="0" w:line="240" w:lineRule="auto"/>
        <w:ind w:firstLine="709"/>
        <w:jc w:val="both"/>
        <w:rPr>
          <w:rFonts w:ascii="Times New Roman" w:eastAsia="Calibri" w:hAnsi="Times New Roman"/>
          <w:sz w:val="26"/>
          <w:szCs w:val="26"/>
          <w:lang w:eastAsia="en-US"/>
        </w:rPr>
      </w:pPr>
      <w:r>
        <w:rPr>
          <w:rFonts w:ascii="Times New Roman" w:eastAsia="Calibri" w:hAnsi="Times New Roman"/>
          <w:sz w:val="26"/>
          <w:szCs w:val="26"/>
          <w:lang w:eastAsia="en-US"/>
        </w:rPr>
        <w:lastRenderedPageBreak/>
        <w:sym w:font="Symbol" w:char="F0B7"/>
      </w:r>
      <w:r w:rsidR="00BA563A" w:rsidRPr="00BA563A">
        <w:rPr>
          <w:rFonts w:ascii="Times New Roman" w:eastAsia="Calibri" w:hAnsi="Times New Roman"/>
          <w:sz w:val="26"/>
          <w:szCs w:val="26"/>
          <w:lang w:eastAsia="en-US"/>
        </w:rPr>
        <w:t xml:space="preserve"> от нескольких до десятков раз, превышающих валовый убыток от реализации</w:t>
      </w:r>
      <w:r w:rsidR="00772E03">
        <w:rPr>
          <w:rFonts w:ascii="Times New Roman" w:eastAsia="Calibri" w:hAnsi="Times New Roman"/>
          <w:sz w:val="26"/>
          <w:szCs w:val="26"/>
          <w:lang w:eastAsia="en-US"/>
        </w:rPr>
        <w:t>;</w:t>
      </w:r>
      <w:r w:rsidR="00BA563A" w:rsidRPr="00BA563A">
        <w:rPr>
          <w:rFonts w:ascii="Times New Roman" w:eastAsia="Calibri" w:hAnsi="Times New Roman"/>
          <w:sz w:val="26"/>
          <w:szCs w:val="26"/>
          <w:lang w:eastAsia="en-US"/>
        </w:rPr>
        <w:t xml:space="preserve"> </w:t>
      </w:r>
    </w:p>
    <w:p w:rsidR="00BA563A" w:rsidRPr="00BA563A" w:rsidRDefault="00444319" w:rsidP="00BA563A">
      <w:pPr>
        <w:spacing w:after="0" w:line="240" w:lineRule="auto"/>
        <w:ind w:firstLine="709"/>
        <w:jc w:val="both"/>
        <w:rPr>
          <w:rFonts w:ascii="Times New Roman" w:eastAsia="Calibri" w:hAnsi="Times New Roman"/>
          <w:sz w:val="26"/>
          <w:szCs w:val="26"/>
          <w:lang w:eastAsia="en-US"/>
        </w:rPr>
      </w:pPr>
      <w:r>
        <w:rPr>
          <w:rFonts w:ascii="Times New Roman" w:eastAsia="Calibri" w:hAnsi="Times New Roman"/>
          <w:sz w:val="26"/>
          <w:szCs w:val="26"/>
          <w:lang w:eastAsia="en-US"/>
        </w:rPr>
        <w:sym w:font="Symbol" w:char="F0B7"/>
      </w:r>
      <w:r w:rsidR="00BA563A" w:rsidRPr="00BA563A">
        <w:rPr>
          <w:rFonts w:ascii="Times New Roman" w:eastAsia="Calibri" w:hAnsi="Times New Roman"/>
          <w:sz w:val="26"/>
          <w:szCs w:val="26"/>
          <w:lang w:eastAsia="en-US"/>
        </w:rPr>
        <w:t xml:space="preserve"> при наличии валовой прибыли от реализации услуг,</w:t>
      </w:r>
    </w:p>
    <w:p w:rsidR="00BA563A" w:rsidRPr="00BA563A" w:rsidRDefault="00BA563A" w:rsidP="00BA563A">
      <w:pPr>
        <w:spacing w:before="40" w:after="0" w:line="240" w:lineRule="auto"/>
        <w:jc w:val="both"/>
        <w:rPr>
          <w:rFonts w:ascii="Times New Roman" w:eastAsia="Calibri" w:hAnsi="Times New Roman"/>
          <w:sz w:val="26"/>
          <w:szCs w:val="26"/>
          <w:lang w:eastAsia="x-none"/>
        </w:rPr>
      </w:pPr>
      <w:r w:rsidRPr="00BA563A">
        <w:rPr>
          <w:rFonts w:ascii="Times New Roman" w:eastAsia="Calibri" w:hAnsi="Times New Roman"/>
          <w:sz w:val="26"/>
          <w:szCs w:val="26"/>
          <w:lang w:eastAsia="x-none"/>
        </w:rPr>
        <w:t>что может свидетельствовать о недостатках в подходах и механизме формирования и определения «экономически обоснованного» тарифа и, соответственно, применения при расчете размера субсидии показателя «стоимость услуг по водоснабжению, водоотведению для нужд населения по расчету, произведенному Комитетом по тарифному регулированию Мурманской области одним из методов регулирования тарифов».</w:t>
      </w:r>
    </w:p>
    <w:p w:rsidR="00BA563A" w:rsidRPr="00BA563A" w:rsidRDefault="00BA563A" w:rsidP="00BA563A">
      <w:pPr>
        <w:spacing w:after="0" w:line="240" w:lineRule="auto"/>
        <w:ind w:firstLine="709"/>
        <w:jc w:val="both"/>
        <w:rPr>
          <w:rFonts w:ascii="Times New Roman" w:eastAsia="Calibri" w:hAnsi="Times New Roman"/>
          <w:sz w:val="26"/>
          <w:szCs w:val="26"/>
          <w:lang w:eastAsia="en-US"/>
        </w:rPr>
      </w:pPr>
      <w:r w:rsidRPr="00BA563A">
        <w:rPr>
          <w:rFonts w:ascii="Times New Roman" w:eastAsia="Calibri" w:hAnsi="Times New Roman"/>
          <w:sz w:val="26"/>
          <w:szCs w:val="26"/>
          <w:lang w:eastAsia="en-US"/>
        </w:rPr>
        <w:t xml:space="preserve">Организации коммунального комплекса, действующие на территории Мурманской области, в сферах водоснабжения и водоотведения имеют различную структуру и индивидуальные особенности осуществления данных видов деятельности. </w:t>
      </w:r>
    </w:p>
    <w:p w:rsidR="00BA563A" w:rsidRPr="00BA563A" w:rsidRDefault="00BA563A" w:rsidP="00BA563A">
      <w:pPr>
        <w:spacing w:after="0" w:line="240" w:lineRule="auto"/>
        <w:ind w:firstLine="709"/>
        <w:jc w:val="both"/>
        <w:rPr>
          <w:rFonts w:ascii="Times New Roman" w:hAnsi="Times New Roman"/>
          <w:sz w:val="26"/>
          <w:szCs w:val="26"/>
          <w:lang w:eastAsia="en-US"/>
        </w:rPr>
      </w:pPr>
      <w:r w:rsidRPr="00BA563A">
        <w:rPr>
          <w:rFonts w:ascii="Times New Roman" w:eastAsia="Calibri" w:hAnsi="Times New Roman"/>
          <w:sz w:val="26"/>
          <w:szCs w:val="26"/>
          <w:lang w:eastAsia="en-US"/>
        </w:rPr>
        <w:t>В результате, одинаковый подход при государственном регулировании тарифов на водоснабжение, водоотведение и единый порядок предоставления из областного бюджета субсидии на возмещение затрат (недополученных доходов) привели к различным финансовым результатам деятельности ресурсоснабжающих организаций, что в целом свидетельствует о не достижении цели субсидирования.</w:t>
      </w:r>
    </w:p>
    <w:p w:rsidR="007512F1" w:rsidRPr="00D63953" w:rsidRDefault="007512F1" w:rsidP="00B46FB9">
      <w:pPr>
        <w:widowControl w:val="0"/>
        <w:spacing w:after="0" w:line="240" w:lineRule="auto"/>
        <w:ind w:firstLine="709"/>
        <w:jc w:val="both"/>
        <w:rPr>
          <w:rFonts w:ascii="Times New Roman" w:hAnsi="Times New Roman"/>
          <w:sz w:val="14"/>
          <w:szCs w:val="14"/>
        </w:rPr>
      </w:pPr>
    </w:p>
    <w:p w:rsidR="009E0A37" w:rsidRPr="00226095" w:rsidRDefault="00D63953" w:rsidP="007512F1">
      <w:pPr>
        <w:spacing w:after="0" w:line="240" w:lineRule="auto"/>
        <w:ind w:firstLine="708"/>
        <w:contextualSpacing/>
        <w:jc w:val="both"/>
        <w:rPr>
          <w:rFonts w:ascii="Times New Roman" w:eastAsia="Calibri" w:hAnsi="Times New Roman"/>
          <w:sz w:val="26"/>
          <w:szCs w:val="26"/>
          <w:lang w:eastAsia="en-US"/>
        </w:rPr>
      </w:pPr>
      <w:r>
        <w:rPr>
          <w:rFonts w:ascii="Times New Roman" w:eastAsia="Calibri" w:hAnsi="Times New Roman"/>
          <w:b/>
          <w:sz w:val="26"/>
          <w:szCs w:val="26"/>
          <w:lang w:eastAsia="en-US"/>
        </w:rPr>
        <w:t>4</w:t>
      </w:r>
      <w:r w:rsidR="002C49D3" w:rsidRPr="002C49D3">
        <w:rPr>
          <w:rFonts w:ascii="Times New Roman" w:eastAsia="Calibri" w:hAnsi="Times New Roman"/>
          <w:b/>
          <w:sz w:val="26"/>
          <w:szCs w:val="26"/>
          <w:lang w:eastAsia="en-US"/>
        </w:rPr>
        <w:t>.6.</w:t>
      </w:r>
      <w:r w:rsidR="002C49D3">
        <w:rPr>
          <w:rFonts w:ascii="Times New Roman" w:eastAsia="Calibri" w:hAnsi="Times New Roman"/>
          <w:sz w:val="26"/>
          <w:szCs w:val="26"/>
          <w:lang w:eastAsia="en-US"/>
        </w:rPr>
        <w:t xml:space="preserve"> </w:t>
      </w:r>
      <w:r w:rsidR="007512F1" w:rsidRPr="00226095">
        <w:rPr>
          <w:rFonts w:ascii="Times New Roman" w:eastAsia="Calibri" w:hAnsi="Times New Roman"/>
          <w:sz w:val="26"/>
          <w:szCs w:val="26"/>
          <w:lang w:eastAsia="en-US"/>
        </w:rPr>
        <w:t>По результатам</w:t>
      </w:r>
      <w:r w:rsidR="009E0A37" w:rsidRPr="00226095">
        <w:rPr>
          <w:rFonts w:ascii="Times New Roman" w:eastAsia="Calibri" w:hAnsi="Times New Roman"/>
          <w:sz w:val="26"/>
          <w:szCs w:val="26"/>
          <w:lang w:eastAsia="en-US"/>
        </w:rPr>
        <w:t xml:space="preserve"> </w:t>
      </w:r>
      <w:r w:rsidR="007C251B" w:rsidRPr="007C251B">
        <w:rPr>
          <w:rFonts w:ascii="Times New Roman" w:eastAsia="Calibri" w:hAnsi="Times New Roman"/>
          <w:b/>
          <w:bCs/>
          <w:sz w:val="26"/>
          <w:szCs w:val="26"/>
          <w:lang w:eastAsia="en-US"/>
        </w:rPr>
        <w:t>а</w:t>
      </w:r>
      <w:r w:rsidR="009E0A37" w:rsidRPr="00226095">
        <w:rPr>
          <w:rFonts w:ascii="Times New Roman" w:eastAsia="Calibri" w:hAnsi="Times New Roman"/>
          <w:b/>
          <w:sz w:val="26"/>
          <w:szCs w:val="26"/>
          <w:lang w:eastAsia="en-US"/>
        </w:rPr>
        <w:t>нализ</w:t>
      </w:r>
      <w:r w:rsidR="007C251B">
        <w:rPr>
          <w:rFonts w:ascii="Times New Roman" w:eastAsia="Calibri" w:hAnsi="Times New Roman"/>
          <w:b/>
          <w:sz w:val="26"/>
          <w:szCs w:val="26"/>
          <w:lang w:eastAsia="en-US"/>
        </w:rPr>
        <w:t>а</w:t>
      </w:r>
      <w:r w:rsidR="009E0A37" w:rsidRPr="00226095">
        <w:rPr>
          <w:rFonts w:ascii="Times New Roman" w:eastAsia="Calibri" w:hAnsi="Times New Roman"/>
          <w:b/>
          <w:sz w:val="26"/>
          <w:szCs w:val="26"/>
          <w:lang w:eastAsia="en-US"/>
        </w:rPr>
        <w:t xml:space="preserve"> влияния плановых заданий по объемам и стоимости медицинской помощи на формирование кредиторской задолженности медицинских учреждений Мурманской области в 2018-2019 годах</w:t>
      </w:r>
      <w:r w:rsidR="007512F1" w:rsidRPr="00226095">
        <w:rPr>
          <w:rFonts w:ascii="Times New Roman" w:eastAsia="Calibri" w:hAnsi="Times New Roman"/>
          <w:b/>
          <w:sz w:val="26"/>
          <w:szCs w:val="26"/>
          <w:lang w:eastAsia="en-US"/>
        </w:rPr>
        <w:t xml:space="preserve"> </w:t>
      </w:r>
      <w:r w:rsidR="007512F1" w:rsidRPr="00226095">
        <w:rPr>
          <w:rFonts w:ascii="Times New Roman" w:eastAsia="Calibri" w:hAnsi="Times New Roman"/>
          <w:sz w:val="26"/>
          <w:szCs w:val="26"/>
          <w:lang w:eastAsia="en-US"/>
        </w:rPr>
        <w:t>установлено следующее.</w:t>
      </w:r>
    </w:p>
    <w:p w:rsidR="009E0A37" w:rsidRPr="00226095" w:rsidRDefault="009E0A37" w:rsidP="009E0A37">
      <w:pPr>
        <w:tabs>
          <w:tab w:val="left" w:pos="284"/>
        </w:tabs>
        <w:suppressAutoHyphens/>
        <w:spacing w:after="0" w:line="240" w:lineRule="auto"/>
        <w:ind w:firstLine="709"/>
        <w:jc w:val="both"/>
        <w:rPr>
          <w:rFonts w:ascii="Times New Roman" w:hAnsi="Times New Roman"/>
          <w:sz w:val="26"/>
          <w:szCs w:val="26"/>
          <w:lang w:val="x-none" w:eastAsia="x-none"/>
        </w:rPr>
      </w:pPr>
      <w:r w:rsidRPr="00226095">
        <w:rPr>
          <w:rFonts w:ascii="Times New Roman" w:hAnsi="Times New Roman"/>
          <w:sz w:val="26"/>
          <w:szCs w:val="26"/>
          <w:lang w:val="x-none" w:eastAsia="x-none"/>
        </w:rPr>
        <w:t>По результатам мероприятия отмечен</w:t>
      </w:r>
      <w:r w:rsidRPr="00226095">
        <w:rPr>
          <w:rFonts w:ascii="Times New Roman" w:hAnsi="Times New Roman"/>
          <w:sz w:val="26"/>
          <w:szCs w:val="26"/>
          <w:lang w:eastAsia="x-none"/>
        </w:rPr>
        <w:t xml:space="preserve"> рост </w:t>
      </w:r>
      <w:r w:rsidRPr="00226095">
        <w:rPr>
          <w:rFonts w:ascii="Times New Roman" w:hAnsi="Times New Roman"/>
          <w:sz w:val="26"/>
          <w:szCs w:val="26"/>
          <w:lang w:val="x-none" w:eastAsia="x-none"/>
        </w:rPr>
        <w:t>объем</w:t>
      </w:r>
      <w:r w:rsidRPr="00226095">
        <w:rPr>
          <w:rFonts w:ascii="Times New Roman" w:hAnsi="Times New Roman"/>
          <w:sz w:val="26"/>
          <w:szCs w:val="26"/>
          <w:lang w:eastAsia="x-none"/>
        </w:rPr>
        <w:t>а</w:t>
      </w:r>
      <w:r w:rsidRPr="00226095">
        <w:rPr>
          <w:rFonts w:ascii="Times New Roman" w:hAnsi="Times New Roman"/>
          <w:sz w:val="26"/>
          <w:szCs w:val="26"/>
          <w:lang w:val="x-none" w:eastAsia="x-none"/>
        </w:rPr>
        <w:t xml:space="preserve"> просроченной кредиторской задолженности </w:t>
      </w:r>
      <w:r w:rsidRPr="00226095">
        <w:rPr>
          <w:rFonts w:ascii="Times New Roman" w:hAnsi="Times New Roman"/>
          <w:sz w:val="26"/>
          <w:szCs w:val="26"/>
          <w:lang w:eastAsia="x-none"/>
        </w:rPr>
        <w:t xml:space="preserve">областных медицинских учреждений – участников системы ОМС за период с 01.01.2018 по 01.09.2019 </w:t>
      </w:r>
      <w:r w:rsidRPr="00226095">
        <w:rPr>
          <w:rFonts w:ascii="Times New Roman" w:hAnsi="Times New Roman"/>
          <w:sz w:val="26"/>
          <w:szCs w:val="26"/>
          <w:lang w:val="x-none" w:eastAsia="x-none"/>
        </w:rPr>
        <w:t xml:space="preserve">на 87 863,0 тыс. рублей, или на 22,3 процента </w:t>
      </w:r>
      <w:r w:rsidRPr="00226095">
        <w:rPr>
          <w:rFonts w:ascii="Times New Roman" w:hAnsi="Times New Roman"/>
          <w:sz w:val="26"/>
          <w:szCs w:val="26"/>
          <w:lang w:eastAsia="x-none"/>
        </w:rPr>
        <w:t>(</w:t>
      </w:r>
      <w:r w:rsidRPr="00226095">
        <w:rPr>
          <w:rFonts w:ascii="Times New Roman" w:hAnsi="Times New Roman"/>
          <w:sz w:val="26"/>
          <w:szCs w:val="26"/>
          <w:lang w:val="x-none" w:eastAsia="x-none"/>
        </w:rPr>
        <w:t>с</w:t>
      </w:r>
      <w:r w:rsidRPr="00226095">
        <w:rPr>
          <w:rFonts w:ascii="Times New Roman" w:hAnsi="Times New Roman"/>
          <w:sz w:val="26"/>
          <w:szCs w:val="26"/>
          <w:lang w:eastAsia="x-none"/>
        </w:rPr>
        <w:t xml:space="preserve"> </w:t>
      </w:r>
      <w:r w:rsidRPr="00226095">
        <w:rPr>
          <w:rFonts w:ascii="Times New Roman" w:hAnsi="Times New Roman"/>
          <w:sz w:val="26"/>
          <w:szCs w:val="26"/>
          <w:lang w:val="x-none"/>
        </w:rPr>
        <w:t xml:space="preserve">393 633,3 тыс. рублей </w:t>
      </w:r>
      <w:r w:rsidRPr="00226095">
        <w:rPr>
          <w:rFonts w:ascii="Times New Roman" w:hAnsi="Times New Roman"/>
          <w:sz w:val="26"/>
          <w:szCs w:val="26"/>
        </w:rPr>
        <w:t>у 8</w:t>
      </w:r>
      <w:r w:rsidRPr="00226095">
        <w:rPr>
          <w:rFonts w:ascii="Times New Roman" w:hAnsi="Times New Roman"/>
          <w:sz w:val="26"/>
          <w:szCs w:val="26"/>
          <w:lang w:val="x-none"/>
        </w:rPr>
        <w:t xml:space="preserve"> учреждений</w:t>
      </w:r>
      <w:r w:rsidRPr="00226095">
        <w:rPr>
          <w:rFonts w:ascii="Times New Roman" w:hAnsi="Times New Roman"/>
          <w:sz w:val="26"/>
          <w:szCs w:val="26"/>
        </w:rPr>
        <w:t xml:space="preserve"> до </w:t>
      </w:r>
      <w:r w:rsidRPr="00226095">
        <w:rPr>
          <w:rFonts w:ascii="Times New Roman" w:hAnsi="Times New Roman"/>
          <w:sz w:val="26"/>
          <w:szCs w:val="26"/>
          <w:lang w:val="x-none"/>
        </w:rPr>
        <w:t xml:space="preserve">481 496,3 тыс. рублей </w:t>
      </w:r>
      <w:r w:rsidRPr="00226095">
        <w:rPr>
          <w:rFonts w:ascii="Times New Roman" w:hAnsi="Times New Roman"/>
          <w:sz w:val="26"/>
          <w:szCs w:val="26"/>
        </w:rPr>
        <w:t xml:space="preserve">у 9 </w:t>
      </w:r>
      <w:r w:rsidR="007512F1" w:rsidRPr="00226095">
        <w:rPr>
          <w:rFonts w:ascii="Times New Roman" w:hAnsi="Times New Roman"/>
          <w:sz w:val="26"/>
          <w:szCs w:val="26"/>
          <w:lang w:val="x-none"/>
        </w:rPr>
        <w:t>учреждений</w:t>
      </w:r>
      <w:r w:rsidRPr="00226095">
        <w:rPr>
          <w:rFonts w:ascii="Times New Roman" w:hAnsi="Times New Roman"/>
          <w:sz w:val="26"/>
          <w:szCs w:val="26"/>
        </w:rPr>
        <w:t>).</w:t>
      </w:r>
    </w:p>
    <w:p w:rsidR="009E0A37" w:rsidRPr="00226095" w:rsidRDefault="009E0A37" w:rsidP="009E0A37">
      <w:pPr>
        <w:tabs>
          <w:tab w:val="left" w:pos="284"/>
        </w:tabs>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val="x-none" w:eastAsia="x-none"/>
        </w:rPr>
        <w:t>В течение 2018 года изменения в плановые задания медицинских учреждений, имеющих просроченную кредиторскую задолженность, вносились 7-8 раз</w:t>
      </w:r>
      <w:r w:rsidRPr="00226095">
        <w:rPr>
          <w:rFonts w:ascii="Times New Roman" w:hAnsi="Times New Roman"/>
          <w:sz w:val="26"/>
          <w:szCs w:val="26"/>
          <w:lang w:eastAsia="x-none"/>
        </w:rPr>
        <w:t xml:space="preserve">, </w:t>
      </w:r>
      <w:r w:rsidRPr="00226095">
        <w:rPr>
          <w:rFonts w:ascii="Times New Roman" w:hAnsi="Times New Roman"/>
          <w:sz w:val="26"/>
          <w:szCs w:val="26"/>
          <w:lang w:val="x-none" w:eastAsia="x-none"/>
        </w:rPr>
        <w:t xml:space="preserve">объемы медицинской помощи планировались, корректировались и перераспределялись </w:t>
      </w:r>
      <w:r w:rsidRPr="00226095">
        <w:rPr>
          <w:rFonts w:ascii="Times New Roman" w:hAnsi="Times New Roman"/>
          <w:sz w:val="26"/>
          <w:szCs w:val="26"/>
          <w:lang w:eastAsia="x-none"/>
        </w:rPr>
        <w:t>в</w:t>
      </w:r>
      <w:r w:rsidRPr="00226095">
        <w:rPr>
          <w:rFonts w:ascii="Times New Roman" w:hAnsi="Times New Roman"/>
          <w:sz w:val="26"/>
          <w:szCs w:val="26"/>
          <w:lang w:val="x-none" w:eastAsia="x-none"/>
        </w:rPr>
        <w:t xml:space="preserve"> соответствии с Правилами ОМС и ведомственными требованиями с учетом федеральных нормативов, численности и половозрастной структуры прикрепленного населения, показателей потребления медицинской помощи за предыдущий и текущий период, </w:t>
      </w:r>
      <w:r w:rsidRPr="00226095">
        <w:rPr>
          <w:rFonts w:ascii="Times New Roman" w:hAnsi="Times New Roman"/>
          <w:sz w:val="26"/>
          <w:szCs w:val="26"/>
          <w:lang w:eastAsia="x-none"/>
        </w:rPr>
        <w:t>и</w:t>
      </w:r>
      <w:r w:rsidRPr="00226095">
        <w:rPr>
          <w:rFonts w:ascii="Times New Roman" w:hAnsi="Times New Roman"/>
          <w:sz w:val="26"/>
          <w:szCs w:val="26"/>
          <w:lang w:val="x-none" w:eastAsia="x-none"/>
        </w:rPr>
        <w:t xml:space="preserve"> с учетом обращений медицинских учреждений.</w:t>
      </w:r>
      <w:r w:rsidRPr="00226095">
        <w:rPr>
          <w:rFonts w:ascii="Times New Roman" w:hAnsi="Times New Roman"/>
          <w:sz w:val="26"/>
          <w:szCs w:val="26"/>
          <w:lang w:eastAsia="x-none"/>
        </w:rPr>
        <w:t xml:space="preserve"> </w:t>
      </w:r>
    </w:p>
    <w:p w:rsidR="009F0524" w:rsidRDefault="009E0A37" w:rsidP="009E0A37">
      <w:pPr>
        <w:tabs>
          <w:tab w:val="left" w:pos="284"/>
        </w:tabs>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val="x-none" w:eastAsia="x-none"/>
        </w:rPr>
        <w:t>Сравнительный анализ роста объемов просроченной кредиторской задолженности, изменений плановых объемов помощи и финансирования в течение 2018 года, а также уровня кассового исполнения окончательно утвержденных плановых финансовых показателей не позволяет сделать вывод об однозначной зависимости объема просроченной кредиторской задолженности от формирования и выполнения плановых заданий (за исключением случаев, когда перевыполненные плановые объемы медицинской помощи остаются без финансирования).</w:t>
      </w:r>
      <w:r w:rsidRPr="00226095">
        <w:rPr>
          <w:rFonts w:ascii="Times New Roman" w:hAnsi="Times New Roman"/>
          <w:sz w:val="26"/>
          <w:szCs w:val="26"/>
          <w:lang w:eastAsia="x-none"/>
        </w:rPr>
        <w:t xml:space="preserve"> </w:t>
      </w:r>
    </w:p>
    <w:p w:rsidR="009E0A37" w:rsidRPr="00226095" w:rsidRDefault="009E0A37" w:rsidP="009E0A37">
      <w:pPr>
        <w:tabs>
          <w:tab w:val="left" w:pos="284"/>
        </w:tabs>
        <w:suppressAutoHyphens/>
        <w:spacing w:after="0" w:line="240" w:lineRule="auto"/>
        <w:ind w:firstLine="709"/>
        <w:jc w:val="both"/>
        <w:rPr>
          <w:rFonts w:ascii="Times New Roman" w:hAnsi="Times New Roman"/>
          <w:sz w:val="26"/>
          <w:szCs w:val="26"/>
          <w:lang w:val="x-none" w:eastAsia="x-none"/>
        </w:rPr>
      </w:pPr>
      <w:r w:rsidRPr="00226095">
        <w:rPr>
          <w:rFonts w:ascii="Times New Roman" w:hAnsi="Times New Roman"/>
          <w:sz w:val="26"/>
          <w:szCs w:val="26"/>
          <w:lang w:eastAsia="x-none"/>
        </w:rPr>
        <w:t xml:space="preserve">По мнению Счетной палаты на </w:t>
      </w:r>
      <w:r w:rsidRPr="00226095">
        <w:rPr>
          <w:rFonts w:ascii="Times New Roman" w:hAnsi="Times New Roman"/>
          <w:sz w:val="26"/>
          <w:szCs w:val="26"/>
          <w:lang w:val="x-none" w:eastAsia="x-none"/>
        </w:rPr>
        <w:t>изменение объема просроченной кредиторской задолженности медицинских учреждений в настоящее время влияют:</w:t>
      </w:r>
    </w:p>
    <w:p w:rsidR="009E0A37" w:rsidRPr="00226095" w:rsidRDefault="00444319" w:rsidP="009E0A37">
      <w:pPr>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9E0A37" w:rsidRPr="00226095">
        <w:rPr>
          <w:rFonts w:ascii="Times New Roman" w:hAnsi="Times New Roman"/>
          <w:sz w:val="26"/>
          <w:szCs w:val="26"/>
          <w:lang w:val="x-none" w:eastAsia="x-none"/>
        </w:rPr>
        <w:t>эффективное ведение финансово-хозяйственной деятельности каждого отдельного медицинского учреждения в рамках «заработанных» средств ОМС;</w:t>
      </w:r>
    </w:p>
    <w:p w:rsidR="009E0A37" w:rsidRPr="00226095" w:rsidRDefault="00444319" w:rsidP="009E0A37">
      <w:pPr>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sidR="009E0A37" w:rsidRPr="00226095">
        <w:rPr>
          <w:rFonts w:ascii="Times New Roman" w:hAnsi="Times New Roman"/>
          <w:sz w:val="26"/>
          <w:szCs w:val="26"/>
          <w:lang w:eastAsia="x-none"/>
        </w:rPr>
        <w:t xml:space="preserve"> </w:t>
      </w:r>
      <w:r w:rsidR="009E0A37" w:rsidRPr="00226095">
        <w:rPr>
          <w:rFonts w:ascii="Times New Roman" w:hAnsi="Times New Roman"/>
          <w:sz w:val="26"/>
          <w:szCs w:val="26"/>
          <w:lang w:val="x-none" w:eastAsia="x-none"/>
        </w:rPr>
        <w:t>превышение плановых объемов финансирования по специализированной медицинской помощи за прошедшие периоды, по которым медицинским учреждениями по предъявленным реестрам счетов не произведена оплата;</w:t>
      </w:r>
    </w:p>
    <w:p w:rsidR="009E0A37" w:rsidRPr="00226095" w:rsidRDefault="00444319" w:rsidP="009E0A37">
      <w:pPr>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lastRenderedPageBreak/>
        <w:sym w:font="Symbol" w:char="F0B7"/>
      </w:r>
      <w:r w:rsidR="009E0A37" w:rsidRPr="00226095">
        <w:rPr>
          <w:rFonts w:ascii="Times New Roman" w:hAnsi="Times New Roman"/>
          <w:sz w:val="26"/>
          <w:szCs w:val="26"/>
          <w:lang w:eastAsia="x-none"/>
        </w:rPr>
        <w:t xml:space="preserve"> </w:t>
      </w:r>
      <w:r w:rsidR="009E0A37" w:rsidRPr="00226095">
        <w:rPr>
          <w:rFonts w:ascii="Times New Roman" w:hAnsi="Times New Roman"/>
          <w:sz w:val="26"/>
          <w:szCs w:val="26"/>
          <w:lang w:val="x-none" w:eastAsia="x-none"/>
        </w:rPr>
        <w:t>приоритетность выполнения достижения медицинскими учреждениями целевых показателей по заработной плате врачей</w:t>
      </w:r>
      <w:r w:rsidR="009E0A37" w:rsidRPr="00226095">
        <w:rPr>
          <w:rFonts w:ascii="Times New Roman" w:hAnsi="Times New Roman"/>
          <w:sz w:val="26"/>
          <w:szCs w:val="26"/>
          <w:lang w:eastAsia="x-none"/>
        </w:rPr>
        <w:t xml:space="preserve"> </w:t>
      </w:r>
      <w:r w:rsidR="009E0A37" w:rsidRPr="00226095">
        <w:rPr>
          <w:rFonts w:ascii="Times New Roman" w:hAnsi="Times New Roman"/>
          <w:sz w:val="26"/>
          <w:szCs w:val="26"/>
          <w:lang w:val="x-none" w:eastAsia="x-none"/>
        </w:rPr>
        <w:t>и медицинского персонала, установленных приказами Министерства;</w:t>
      </w:r>
    </w:p>
    <w:p w:rsidR="009E0A37" w:rsidRPr="00226095" w:rsidRDefault="00444319" w:rsidP="009E0A37">
      <w:pPr>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009E0A37" w:rsidRPr="00226095">
        <w:rPr>
          <w:rFonts w:ascii="Times New Roman" w:hAnsi="Times New Roman"/>
          <w:sz w:val="26"/>
          <w:szCs w:val="26"/>
          <w:lang w:eastAsia="x-none"/>
        </w:rPr>
        <w:t xml:space="preserve"> </w:t>
      </w:r>
      <w:r w:rsidR="009E0A37" w:rsidRPr="00226095">
        <w:rPr>
          <w:rFonts w:ascii="Times New Roman" w:hAnsi="Times New Roman"/>
          <w:sz w:val="26"/>
          <w:szCs w:val="26"/>
          <w:lang w:val="x-none" w:eastAsia="x-none"/>
        </w:rPr>
        <w:t>рост расходов по ежемесячной доплате до размера минимальной заработной платы, обусловленный изменением законодательства и постановлением Конституционного суда РФ;</w:t>
      </w:r>
    </w:p>
    <w:p w:rsidR="009E0A37" w:rsidRPr="00226095" w:rsidRDefault="00444319" w:rsidP="009E0A37">
      <w:pPr>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009E0A37" w:rsidRPr="00226095">
        <w:rPr>
          <w:rFonts w:ascii="Times New Roman" w:hAnsi="Times New Roman"/>
          <w:sz w:val="26"/>
          <w:szCs w:val="26"/>
          <w:lang w:eastAsia="x-none"/>
        </w:rPr>
        <w:t xml:space="preserve"> </w:t>
      </w:r>
      <w:r w:rsidR="009E0A37" w:rsidRPr="00226095">
        <w:rPr>
          <w:rFonts w:ascii="Times New Roman" w:hAnsi="Times New Roman"/>
          <w:sz w:val="26"/>
          <w:szCs w:val="26"/>
          <w:lang w:val="x-none" w:eastAsia="x-none"/>
        </w:rPr>
        <w:t>формирование ТП ОМС в части объемов медицинской помощи в соответствии с федеральными нормативами без учета всех региональных особенностей.</w:t>
      </w:r>
    </w:p>
    <w:p w:rsidR="009E0A37" w:rsidRPr="00226095" w:rsidRDefault="009E0A37" w:rsidP="009E0A37">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val="x-none" w:eastAsia="x-none"/>
        </w:rPr>
        <w:t xml:space="preserve">Предоставление средств областного бюджета в виде субсидий на погашение просроченной кредиторской задолженности в целях финансового оздоровления медицинских учреждений в 2018 году в сумме 157 128,6 тыс. рублей и за 4 месяца 2019 года в сумме 132 971,4 тыс. рублей, в целом не дало положительного эффекта. Нормы действующего законодательства предусматривают возможность установления дополнительного объема страхового обеспечения медицинской помощи, оказанной в рамках базовой программы ОМС, </w:t>
      </w:r>
      <w:r w:rsidRPr="00226095">
        <w:rPr>
          <w:rFonts w:ascii="Times New Roman" w:hAnsi="Times New Roman"/>
          <w:sz w:val="26"/>
          <w:szCs w:val="26"/>
          <w:lang w:eastAsia="x-none"/>
        </w:rPr>
        <w:t xml:space="preserve">за счет средств областного бюджета. </w:t>
      </w:r>
    </w:p>
    <w:p w:rsidR="009E0A37" w:rsidRPr="00226095" w:rsidRDefault="009E0A37" w:rsidP="009E0A37">
      <w:pPr>
        <w:suppressAutoHyphens/>
        <w:spacing w:after="0" w:line="240" w:lineRule="auto"/>
        <w:ind w:firstLine="709"/>
        <w:jc w:val="both"/>
        <w:rPr>
          <w:rFonts w:ascii="Times New Roman" w:hAnsi="Times New Roman"/>
          <w:sz w:val="26"/>
          <w:szCs w:val="26"/>
          <w:lang w:val="x-none" w:eastAsia="x-none"/>
        </w:rPr>
      </w:pPr>
      <w:r w:rsidRPr="00226095">
        <w:rPr>
          <w:rFonts w:ascii="Times New Roman" w:hAnsi="Times New Roman"/>
          <w:sz w:val="26"/>
          <w:szCs w:val="26"/>
          <w:lang w:val="x-none" w:eastAsia="x-none"/>
        </w:rPr>
        <w:t>Счетной палатой сделан вывод, что предоставление такого финансирования позволит установить более высокие тарифы на оплату медицинской помощи, обеспечит в большей степени финансирование всех видов расходов, осуществляемых медицинскими учреждениями за счет средств ОМС, и будет направлено на снижение напряженности по исполнению учреждениями обязательств по повышению уровня оплаты труда медицинских работников, позволит своевременно осуществлять расчеты без оплаты штрафных санкций и пени за просроченные платежи.</w:t>
      </w:r>
    </w:p>
    <w:p w:rsidR="009E0A37" w:rsidRPr="00226095" w:rsidRDefault="009E0A37" w:rsidP="009E0A37">
      <w:pPr>
        <w:suppressAutoHyphens/>
        <w:spacing w:after="0" w:line="240" w:lineRule="auto"/>
        <w:ind w:firstLine="709"/>
        <w:jc w:val="both"/>
        <w:rPr>
          <w:rFonts w:ascii="Times New Roman" w:hAnsi="Times New Roman"/>
          <w:sz w:val="26"/>
          <w:szCs w:val="26"/>
          <w:lang w:val="x-none" w:eastAsia="x-none"/>
        </w:rPr>
      </w:pPr>
      <w:r w:rsidRPr="00226095">
        <w:rPr>
          <w:rFonts w:ascii="Times New Roman" w:hAnsi="Times New Roman"/>
          <w:sz w:val="26"/>
          <w:szCs w:val="26"/>
          <w:lang w:val="x-none" w:eastAsia="x-none"/>
        </w:rPr>
        <w:t xml:space="preserve">По решению Коллегии Контрольно-Счетной палаты Мурманской области информационные письма направлены в ТФОМС Мурманской области и Министерство здравоохранения Мурманской области, </w:t>
      </w:r>
      <w:r w:rsidRPr="00226095">
        <w:rPr>
          <w:rFonts w:ascii="Times New Roman" w:hAnsi="Times New Roman"/>
          <w:sz w:val="26"/>
          <w:szCs w:val="26"/>
          <w:lang w:eastAsia="x-none"/>
        </w:rPr>
        <w:t xml:space="preserve">в которых предложено </w:t>
      </w:r>
      <w:r w:rsidRPr="00226095">
        <w:rPr>
          <w:rFonts w:ascii="Times New Roman" w:hAnsi="Times New Roman"/>
          <w:sz w:val="26"/>
          <w:szCs w:val="26"/>
          <w:lang w:val="x-none" w:eastAsia="x-none"/>
        </w:rPr>
        <w:t>рассмотреть вопросы</w:t>
      </w:r>
      <w:r w:rsidRPr="00226095">
        <w:rPr>
          <w:rFonts w:ascii="Times New Roman" w:hAnsi="Times New Roman"/>
          <w:sz w:val="26"/>
          <w:szCs w:val="26"/>
          <w:lang w:eastAsia="x-none"/>
        </w:rPr>
        <w:t xml:space="preserve"> </w:t>
      </w:r>
      <w:r w:rsidRPr="00226095">
        <w:rPr>
          <w:rFonts w:ascii="Times New Roman" w:hAnsi="Times New Roman"/>
          <w:sz w:val="26"/>
          <w:szCs w:val="26"/>
          <w:lang w:val="x-none" w:eastAsia="x-none"/>
        </w:rPr>
        <w:t>взаимодействия ведомств по достоверному получению и учету кредиторской задолженности областных медицинских учреждений</w:t>
      </w:r>
      <w:r w:rsidRPr="00226095">
        <w:rPr>
          <w:rFonts w:ascii="Times New Roman" w:hAnsi="Times New Roman"/>
          <w:sz w:val="26"/>
          <w:szCs w:val="26"/>
          <w:lang w:eastAsia="x-none"/>
        </w:rPr>
        <w:t xml:space="preserve"> и п</w:t>
      </w:r>
      <w:proofErr w:type="spellStart"/>
      <w:r w:rsidRPr="00226095">
        <w:rPr>
          <w:rFonts w:ascii="Times New Roman" w:hAnsi="Times New Roman"/>
          <w:sz w:val="26"/>
          <w:szCs w:val="26"/>
          <w:lang w:val="x-none" w:eastAsia="x-none"/>
        </w:rPr>
        <w:t>роведени</w:t>
      </w:r>
      <w:r w:rsidRPr="00226095">
        <w:rPr>
          <w:rFonts w:ascii="Times New Roman" w:hAnsi="Times New Roman"/>
          <w:sz w:val="26"/>
          <w:szCs w:val="26"/>
          <w:lang w:eastAsia="x-none"/>
        </w:rPr>
        <w:t>ю</w:t>
      </w:r>
      <w:proofErr w:type="spellEnd"/>
      <w:r w:rsidRPr="00226095">
        <w:rPr>
          <w:rFonts w:ascii="Times New Roman" w:hAnsi="Times New Roman"/>
          <w:sz w:val="26"/>
          <w:szCs w:val="26"/>
          <w:lang w:val="x-none" w:eastAsia="x-none"/>
        </w:rPr>
        <w:t xml:space="preserve"> сверки данных о кредиторской задолженности, осуществляемой по уровню подведомственности.</w:t>
      </w:r>
    </w:p>
    <w:p w:rsidR="009E0A37" w:rsidRPr="00D63953" w:rsidRDefault="009E0A37" w:rsidP="009E0A37">
      <w:pPr>
        <w:tabs>
          <w:tab w:val="left" w:pos="284"/>
        </w:tabs>
        <w:suppressAutoHyphens/>
        <w:spacing w:after="0" w:line="240" w:lineRule="auto"/>
        <w:ind w:firstLine="709"/>
        <w:jc w:val="both"/>
        <w:rPr>
          <w:rFonts w:ascii="Times New Roman" w:hAnsi="Times New Roman"/>
          <w:sz w:val="14"/>
          <w:szCs w:val="14"/>
          <w:lang w:eastAsia="x-none"/>
        </w:rPr>
      </w:pPr>
    </w:p>
    <w:p w:rsidR="009E0A37" w:rsidRPr="00226095" w:rsidRDefault="00D63953" w:rsidP="009E0A37">
      <w:pPr>
        <w:suppressAutoHyphens/>
        <w:spacing w:after="0" w:line="240" w:lineRule="auto"/>
        <w:ind w:firstLine="709"/>
        <w:jc w:val="both"/>
        <w:rPr>
          <w:rFonts w:ascii="Times New Roman" w:hAnsi="Times New Roman"/>
          <w:b/>
          <w:sz w:val="26"/>
          <w:szCs w:val="26"/>
        </w:rPr>
      </w:pPr>
      <w:r>
        <w:rPr>
          <w:rFonts w:ascii="Times New Roman" w:hAnsi="Times New Roman"/>
          <w:b/>
          <w:sz w:val="26"/>
          <w:szCs w:val="26"/>
        </w:rPr>
        <w:t>4</w:t>
      </w:r>
      <w:r w:rsidR="002C49D3" w:rsidRPr="002C49D3">
        <w:rPr>
          <w:rFonts w:ascii="Times New Roman" w:hAnsi="Times New Roman"/>
          <w:b/>
          <w:sz w:val="26"/>
          <w:szCs w:val="26"/>
        </w:rPr>
        <w:t>.</w:t>
      </w:r>
      <w:r w:rsidR="00AC1780">
        <w:rPr>
          <w:rFonts w:ascii="Times New Roman" w:hAnsi="Times New Roman"/>
          <w:b/>
          <w:sz w:val="26"/>
          <w:szCs w:val="26"/>
        </w:rPr>
        <w:t>7</w:t>
      </w:r>
      <w:r w:rsidR="002C49D3" w:rsidRPr="002C49D3">
        <w:rPr>
          <w:rFonts w:ascii="Times New Roman" w:hAnsi="Times New Roman"/>
          <w:b/>
          <w:sz w:val="26"/>
          <w:szCs w:val="26"/>
        </w:rPr>
        <w:t>.</w:t>
      </w:r>
      <w:r w:rsidR="002C49D3">
        <w:rPr>
          <w:rFonts w:ascii="Times New Roman" w:hAnsi="Times New Roman"/>
          <w:sz w:val="26"/>
          <w:szCs w:val="26"/>
        </w:rPr>
        <w:t xml:space="preserve"> </w:t>
      </w:r>
      <w:r w:rsidR="009E0A37" w:rsidRPr="00226095">
        <w:rPr>
          <w:rFonts w:ascii="Times New Roman" w:hAnsi="Times New Roman"/>
          <w:sz w:val="26"/>
          <w:szCs w:val="26"/>
        </w:rPr>
        <w:t xml:space="preserve">По результатам </w:t>
      </w:r>
      <w:r w:rsidR="007C251B" w:rsidRPr="007C251B">
        <w:rPr>
          <w:rFonts w:ascii="Times New Roman" w:hAnsi="Times New Roman"/>
          <w:b/>
          <w:bCs/>
          <w:sz w:val="26"/>
          <w:szCs w:val="26"/>
        </w:rPr>
        <w:t>а</w:t>
      </w:r>
      <w:r w:rsidR="009E0A37" w:rsidRPr="00226095">
        <w:rPr>
          <w:rFonts w:ascii="Times New Roman" w:hAnsi="Times New Roman"/>
          <w:b/>
          <w:sz w:val="26"/>
          <w:szCs w:val="26"/>
        </w:rPr>
        <w:t>нализ</w:t>
      </w:r>
      <w:r w:rsidR="007C251B">
        <w:rPr>
          <w:rFonts w:ascii="Times New Roman" w:hAnsi="Times New Roman"/>
          <w:b/>
          <w:sz w:val="26"/>
          <w:szCs w:val="26"/>
        </w:rPr>
        <w:t>а</w:t>
      </w:r>
      <w:r w:rsidR="009E0A37" w:rsidRPr="00226095">
        <w:rPr>
          <w:rFonts w:ascii="Times New Roman" w:hAnsi="Times New Roman"/>
          <w:b/>
          <w:sz w:val="26"/>
          <w:szCs w:val="26"/>
        </w:rPr>
        <w:t xml:space="preserve"> и проверк</w:t>
      </w:r>
      <w:r w:rsidR="007C251B">
        <w:rPr>
          <w:rFonts w:ascii="Times New Roman" w:hAnsi="Times New Roman"/>
          <w:b/>
          <w:sz w:val="26"/>
          <w:szCs w:val="26"/>
        </w:rPr>
        <w:t>и</w:t>
      </w:r>
      <w:r w:rsidR="009E0A37" w:rsidRPr="00226095">
        <w:rPr>
          <w:rFonts w:ascii="Times New Roman" w:hAnsi="Times New Roman"/>
          <w:b/>
          <w:sz w:val="26"/>
          <w:szCs w:val="26"/>
        </w:rPr>
        <w:t xml:space="preserve"> использования средств областного бюджета на предоставление питания отдельным категориям обучающихся учреждений среднего профессионального образования Мурманской области в 2018 году и истекшем периоде 2019 года </w:t>
      </w:r>
      <w:r w:rsidR="009E0A37" w:rsidRPr="00226095">
        <w:rPr>
          <w:rFonts w:ascii="Times New Roman" w:hAnsi="Times New Roman"/>
          <w:sz w:val="26"/>
          <w:szCs w:val="26"/>
        </w:rPr>
        <w:t>установлено следующее.</w:t>
      </w:r>
    </w:p>
    <w:p w:rsidR="009E0A37" w:rsidRPr="00226095" w:rsidRDefault="009E0A37" w:rsidP="009E0A37">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По результатам мероприятий финансового контроля, проведенных в профессиональных образовательных учреждениях Мурманской области</w:t>
      </w:r>
      <w:r w:rsidRPr="00226095">
        <w:rPr>
          <w:rFonts w:ascii="Times New Roman" w:hAnsi="Times New Roman"/>
          <w:sz w:val="26"/>
          <w:szCs w:val="26"/>
          <w:vertAlign w:val="superscript"/>
          <w:lang w:eastAsia="x-none"/>
        </w:rPr>
        <w:footnoteReference w:id="2"/>
      </w:r>
      <w:r w:rsidRPr="00226095">
        <w:rPr>
          <w:rFonts w:ascii="Times New Roman" w:hAnsi="Times New Roman"/>
          <w:sz w:val="26"/>
          <w:szCs w:val="26"/>
          <w:lang w:eastAsia="x-none"/>
        </w:rPr>
        <w:t>, выявлены нарушения и недостатки, допущенные учреждениями при организации бесплатного питания отдельных категорий обучающихся, которые в большей части связаны с нарушением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r w:rsidRPr="00226095">
        <w:rPr>
          <w:rFonts w:ascii="Times New Roman" w:hAnsi="Times New Roman"/>
          <w:sz w:val="26"/>
          <w:szCs w:val="26"/>
          <w:vertAlign w:val="superscript"/>
          <w:lang w:eastAsia="x-none"/>
        </w:rPr>
        <w:footnoteReference w:id="3"/>
      </w:r>
      <w:r w:rsidRPr="00226095">
        <w:rPr>
          <w:rFonts w:ascii="Times New Roman" w:hAnsi="Times New Roman"/>
          <w:sz w:val="26"/>
          <w:szCs w:val="26"/>
          <w:lang w:eastAsia="x-none"/>
        </w:rPr>
        <w:t>, а также обусловлены недостатками нормативного правового регулирования в Мурманской области вопросов организации бесплатного питания отдельных категорий обучающихся в профессиональных образовательных организациях, в том числе детей-сирот, детей, оставшихся без попечения родителей, лиц из их числа.</w:t>
      </w:r>
    </w:p>
    <w:p w:rsidR="009E0A37" w:rsidRPr="00226095" w:rsidRDefault="009E0A37" w:rsidP="009E0A37">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lastRenderedPageBreak/>
        <w:t>Анализ нормативной правовой базы Мурманской области по указанному вопросу показал следующее:</w:t>
      </w:r>
    </w:p>
    <w:p w:rsidR="009E0A37" w:rsidRPr="00226095" w:rsidRDefault="009E0A37" w:rsidP="009E0A37">
      <w:pPr>
        <w:numPr>
          <w:ilvl w:val="3"/>
          <w:numId w:val="33"/>
        </w:numPr>
        <w:autoSpaceDE w:val="0"/>
        <w:autoSpaceDN w:val="0"/>
        <w:adjustRightInd w:val="0"/>
        <w:spacing w:after="0" w:line="228" w:lineRule="auto"/>
        <w:ind w:left="0" w:firstLine="709"/>
        <w:jc w:val="both"/>
        <w:rPr>
          <w:rFonts w:ascii="Times New Roman" w:hAnsi="Times New Roman"/>
          <w:sz w:val="26"/>
          <w:szCs w:val="26"/>
          <w:lang w:eastAsia="x-none"/>
        </w:rPr>
      </w:pPr>
      <w:r w:rsidRPr="00226095">
        <w:rPr>
          <w:rFonts w:ascii="Times New Roman" w:hAnsi="Times New Roman"/>
          <w:sz w:val="26"/>
          <w:szCs w:val="26"/>
          <w:lang w:eastAsia="x-none"/>
        </w:rPr>
        <w:t>в части предоставления питания отдельным категориям обучающихся, определенным Законом Мурманской области от 26.10.2007 № 900-01-ЗМО «О предоставлении питания отдельным категориям обучающихся государственных областных и муниципальных образовательных организаций Мурманской области»:</w:t>
      </w:r>
    </w:p>
    <w:p w:rsidR="009E0A37" w:rsidRPr="00226095" w:rsidRDefault="009F0524" w:rsidP="009F0524">
      <w:pPr>
        <w:autoSpaceDE w:val="0"/>
        <w:autoSpaceDN w:val="0"/>
        <w:adjustRightInd w:val="0"/>
        <w:spacing w:after="0" w:line="240" w:lineRule="auto"/>
        <w:ind w:left="1080"/>
        <w:contextualSpacing/>
        <w:jc w:val="both"/>
        <w:rPr>
          <w:rFonts w:ascii="Times New Roman" w:hAnsi="Times New Roman"/>
          <w:sz w:val="26"/>
          <w:szCs w:val="26"/>
          <w:lang w:eastAsia="x-none"/>
        </w:rPr>
      </w:pPr>
      <w:r>
        <w:rPr>
          <w:rFonts w:ascii="Times New Roman" w:hAnsi="Times New Roman"/>
          <w:sz w:val="26"/>
          <w:szCs w:val="26"/>
          <w:lang w:eastAsia="x-none"/>
        </w:rPr>
        <w:t xml:space="preserve">- </w:t>
      </w:r>
      <w:r w:rsidR="009E0A37" w:rsidRPr="00226095">
        <w:rPr>
          <w:rFonts w:ascii="Times New Roman" w:hAnsi="Times New Roman"/>
          <w:sz w:val="26"/>
          <w:szCs w:val="26"/>
          <w:lang w:eastAsia="x-none"/>
        </w:rPr>
        <w:t>региональный размер расходов для предоставления бесплатного питания, утвержденный постановлением Правительства Мурманской области от 14.01.2013 № 5-ПП (с изменениями), не имеет финансово-экономического обоснования, как первоначального, так и ежегодно проиндексированных региональных размеров расходов на бесплатное питание отдельных категорий обучающихся;</w:t>
      </w:r>
    </w:p>
    <w:p w:rsidR="009E0A37" w:rsidRPr="00226095" w:rsidRDefault="009F0524" w:rsidP="009F0524">
      <w:pPr>
        <w:autoSpaceDE w:val="0"/>
        <w:autoSpaceDN w:val="0"/>
        <w:adjustRightInd w:val="0"/>
        <w:spacing w:after="0" w:line="240" w:lineRule="auto"/>
        <w:ind w:left="1080"/>
        <w:contextualSpacing/>
        <w:jc w:val="both"/>
        <w:rPr>
          <w:rFonts w:ascii="Times New Roman" w:hAnsi="Times New Roman"/>
          <w:sz w:val="26"/>
          <w:szCs w:val="26"/>
          <w:lang w:eastAsia="x-none"/>
        </w:rPr>
      </w:pPr>
      <w:r>
        <w:rPr>
          <w:rFonts w:ascii="Times New Roman" w:hAnsi="Times New Roman"/>
          <w:sz w:val="26"/>
          <w:szCs w:val="26"/>
          <w:lang w:eastAsia="x-none"/>
        </w:rPr>
        <w:t xml:space="preserve">- </w:t>
      </w:r>
      <w:r w:rsidR="009E0A37" w:rsidRPr="00226095">
        <w:rPr>
          <w:rFonts w:ascii="Times New Roman" w:hAnsi="Times New Roman"/>
          <w:sz w:val="26"/>
          <w:szCs w:val="26"/>
          <w:lang w:eastAsia="x-none"/>
        </w:rPr>
        <w:t>порядок и нормы обеспечения питанием в натуральных величинах для обучающихся в государственных областных профессиональных образовательных организациях не установлены, не регламентирована форма предоставления питания (завтрак и обед, или завтрак, или обед), не установлены конкретные цели использования средств областного бюджета – на организацию питания образовательными организациями либо на приобретение продуктов и оплату расходов по организации питания образовательными организациями;</w:t>
      </w:r>
    </w:p>
    <w:p w:rsidR="009E0A37" w:rsidRPr="00226095" w:rsidRDefault="009E0A37" w:rsidP="009E0A37">
      <w:pPr>
        <w:numPr>
          <w:ilvl w:val="3"/>
          <w:numId w:val="33"/>
        </w:numPr>
        <w:autoSpaceDE w:val="0"/>
        <w:autoSpaceDN w:val="0"/>
        <w:adjustRightInd w:val="0"/>
        <w:spacing w:after="0" w:line="228" w:lineRule="auto"/>
        <w:ind w:left="0" w:firstLine="709"/>
        <w:jc w:val="both"/>
        <w:rPr>
          <w:rFonts w:ascii="Times New Roman" w:hAnsi="Times New Roman"/>
          <w:sz w:val="26"/>
          <w:szCs w:val="26"/>
          <w:lang w:eastAsia="x-none"/>
        </w:rPr>
      </w:pPr>
      <w:r w:rsidRPr="00226095">
        <w:rPr>
          <w:rFonts w:ascii="Times New Roman" w:hAnsi="Times New Roman"/>
          <w:sz w:val="26"/>
          <w:szCs w:val="26"/>
          <w:lang w:eastAsia="x-none"/>
        </w:rPr>
        <w:t>в части предоставления питания детям-сиротам, детям, оставшиеся без попечения родителей, лицам из их числа, лицам, потерявшим в период обучения обоих родителей или единственного родителя, лицам, оказавшимся в период обучения в трудной жизненной ситуации (далее – дети-сироты) на основании Закона Мурманской области от № 568-01-ЗМО 28.12.2004 № 568-01-ЗМО «О дополнительных гарантиях по социальной поддержке детей-сирот и детей, оставшихся без попечения родителей»:</w:t>
      </w:r>
    </w:p>
    <w:p w:rsidR="009E0A37" w:rsidRPr="00226095" w:rsidRDefault="009F0524" w:rsidP="009F0524">
      <w:pPr>
        <w:autoSpaceDE w:val="0"/>
        <w:autoSpaceDN w:val="0"/>
        <w:adjustRightInd w:val="0"/>
        <w:spacing w:after="0" w:line="240" w:lineRule="auto"/>
        <w:ind w:left="1080"/>
        <w:contextualSpacing/>
        <w:jc w:val="both"/>
        <w:rPr>
          <w:rFonts w:ascii="Times New Roman" w:hAnsi="Times New Roman"/>
          <w:sz w:val="26"/>
          <w:szCs w:val="26"/>
          <w:lang w:eastAsia="x-none"/>
        </w:rPr>
      </w:pPr>
      <w:r>
        <w:rPr>
          <w:rFonts w:ascii="Times New Roman" w:hAnsi="Times New Roman"/>
          <w:sz w:val="26"/>
          <w:szCs w:val="26"/>
          <w:lang w:eastAsia="x-none"/>
        </w:rPr>
        <w:t xml:space="preserve">- </w:t>
      </w:r>
      <w:r w:rsidR="009E0A37" w:rsidRPr="00226095">
        <w:rPr>
          <w:rFonts w:ascii="Times New Roman" w:hAnsi="Times New Roman"/>
          <w:sz w:val="26"/>
          <w:szCs w:val="26"/>
          <w:lang w:eastAsia="x-none"/>
        </w:rPr>
        <w:t xml:space="preserve">пункт 2 постановления Правительства Мурманской области от 26.12.2016 № 663-ПП, содержащий отсылочную норму к СанПиН 2.4.3259-15, а также пункты 3 и 4 Порядка обеспечения питанием детей-сирот, утвержденного названным постановлением № 663-ПП, предлагающие обеспечивать питанием детей-сирот в учреждениях профессионального образования в соответствии с требованиями </w:t>
      </w:r>
      <w:hyperlink r:id="rId11" w:history="1">
        <w:r w:rsidR="009E0A37" w:rsidRPr="00226095">
          <w:rPr>
            <w:rFonts w:ascii="Times New Roman" w:hAnsi="Times New Roman"/>
            <w:sz w:val="26"/>
            <w:szCs w:val="26"/>
            <w:lang w:eastAsia="x-none"/>
          </w:rPr>
          <w:t>СанПиН 2.4.5.2409-08</w:t>
        </w:r>
      </w:hyperlink>
      <w:r w:rsidR="009E0A37" w:rsidRPr="00226095">
        <w:rPr>
          <w:rFonts w:ascii="Times New Roman" w:hAnsi="Times New Roman"/>
          <w:sz w:val="26"/>
          <w:szCs w:val="26"/>
          <w:lang w:eastAsia="x-none"/>
        </w:rPr>
        <w:t xml:space="preserve">, вступают в противоречие с положениями данного СанПин 2.4.5.2409-08. Так, согласно пункту 6.30. </w:t>
      </w:r>
      <w:hyperlink r:id="rId12" w:history="1">
        <w:r w:rsidR="009E0A37" w:rsidRPr="00226095">
          <w:rPr>
            <w:rFonts w:ascii="Times New Roman" w:hAnsi="Times New Roman"/>
            <w:sz w:val="26"/>
            <w:szCs w:val="26"/>
            <w:lang w:eastAsia="x-none"/>
          </w:rPr>
          <w:t>СанПиН 2.4.5.2409-08</w:t>
        </w:r>
      </w:hyperlink>
      <w:r w:rsidR="009E0A37" w:rsidRPr="00226095">
        <w:rPr>
          <w:rFonts w:ascii="Times New Roman" w:hAnsi="Times New Roman"/>
          <w:sz w:val="26"/>
          <w:szCs w:val="26"/>
          <w:lang w:eastAsia="x-none"/>
        </w:rPr>
        <w:t xml:space="preserve"> его положения не распространяются на социально незащищенные группы обучающихся (детей-сирот), а также не предусматривают рекомендованного набора продуктов питания при пятиразовом горячем питании;</w:t>
      </w:r>
    </w:p>
    <w:p w:rsidR="009E0A37" w:rsidRPr="00226095" w:rsidRDefault="009F0524" w:rsidP="009F0524">
      <w:pPr>
        <w:autoSpaceDE w:val="0"/>
        <w:autoSpaceDN w:val="0"/>
        <w:adjustRightInd w:val="0"/>
        <w:spacing w:after="0" w:line="240" w:lineRule="auto"/>
        <w:ind w:left="1080"/>
        <w:contextualSpacing/>
        <w:jc w:val="both"/>
        <w:rPr>
          <w:rFonts w:ascii="Times New Roman" w:hAnsi="Times New Roman"/>
          <w:sz w:val="26"/>
          <w:szCs w:val="26"/>
          <w:lang w:eastAsia="x-none"/>
        </w:rPr>
      </w:pPr>
      <w:r>
        <w:rPr>
          <w:rFonts w:ascii="Times New Roman" w:hAnsi="Times New Roman"/>
          <w:sz w:val="26"/>
          <w:szCs w:val="26"/>
          <w:lang w:eastAsia="x-none"/>
        </w:rPr>
        <w:t xml:space="preserve">- </w:t>
      </w:r>
      <w:r w:rsidR="009E0A37" w:rsidRPr="00226095">
        <w:rPr>
          <w:rFonts w:ascii="Times New Roman" w:hAnsi="Times New Roman"/>
          <w:sz w:val="26"/>
          <w:szCs w:val="26"/>
          <w:lang w:eastAsia="x-none"/>
        </w:rPr>
        <w:t>в нарушение пункта 10 статьи 2 Закона Мурманской области от 28.12.2004 № 568-01-ЗМО утвержденные нормы обеспечения бесплатным питанием для детей-сирот в возрасте от 1 года до 18 лет фактически отсутствуют, а для лиц из числа детей-сирот в возрасте от 18 до 23 лет – не утверждались;</w:t>
      </w:r>
    </w:p>
    <w:p w:rsidR="009E0A37" w:rsidRPr="00226095" w:rsidRDefault="009F0524" w:rsidP="009F0524">
      <w:pPr>
        <w:autoSpaceDE w:val="0"/>
        <w:autoSpaceDN w:val="0"/>
        <w:adjustRightInd w:val="0"/>
        <w:spacing w:after="0" w:line="240" w:lineRule="auto"/>
        <w:ind w:left="1080"/>
        <w:contextualSpacing/>
        <w:jc w:val="both"/>
        <w:rPr>
          <w:rFonts w:ascii="Times New Roman" w:hAnsi="Times New Roman"/>
          <w:sz w:val="26"/>
          <w:szCs w:val="26"/>
          <w:lang w:eastAsia="x-none"/>
        </w:rPr>
      </w:pPr>
      <w:r>
        <w:rPr>
          <w:rFonts w:ascii="Times New Roman" w:hAnsi="Times New Roman"/>
          <w:sz w:val="26"/>
          <w:szCs w:val="26"/>
          <w:lang w:eastAsia="x-none"/>
        </w:rPr>
        <w:t xml:space="preserve">- </w:t>
      </w:r>
      <w:r w:rsidR="009E0A37" w:rsidRPr="00226095">
        <w:rPr>
          <w:rFonts w:ascii="Times New Roman" w:hAnsi="Times New Roman"/>
          <w:sz w:val="26"/>
          <w:szCs w:val="26"/>
          <w:lang w:eastAsia="x-none"/>
        </w:rPr>
        <w:t xml:space="preserve">право самостоятельного определения профессиональной образовательной организацией размера денежной компенсации за один день питания, предусмотренное в пункте 4 Порядка обеспечения питанием детей-сирот № 663-ПП, и отсутствие утвержденного регионального размера стоимости суточного рациона питания детей-сирот в денежном выражении не обеспечивает равную степень получения данного вида социальной поддержки для детей-сирот на территории Мурманской области, что </w:t>
      </w:r>
      <w:r w:rsidR="009E0A37" w:rsidRPr="00226095">
        <w:rPr>
          <w:rFonts w:ascii="Times New Roman" w:hAnsi="Times New Roman"/>
          <w:sz w:val="26"/>
          <w:szCs w:val="26"/>
          <w:lang w:eastAsia="x-none"/>
        </w:rPr>
        <w:lastRenderedPageBreak/>
        <w:t xml:space="preserve">подтверждается различными подходами профессиональных образовательных учреждений Мурманской области к установлению размера суточного рациона питания для детей-сирот. Так, в профессиональных образовательных учреждениях, охваченных мероприятиями финансового контроля, размер суточного рациона питания в денежном выражении составлял от 250 до 350 рублей на человека; </w:t>
      </w:r>
    </w:p>
    <w:p w:rsidR="009E0A37" w:rsidRPr="00226095" w:rsidRDefault="009F0524" w:rsidP="009F0524">
      <w:pPr>
        <w:autoSpaceDE w:val="0"/>
        <w:autoSpaceDN w:val="0"/>
        <w:adjustRightInd w:val="0"/>
        <w:spacing w:after="0" w:line="240" w:lineRule="auto"/>
        <w:ind w:left="1080"/>
        <w:contextualSpacing/>
        <w:jc w:val="both"/>
        <w:rPr>
          <w:rFonts w:ascii="Times New Roman" w:hAnsi="Times New Roman"/>
          <w:sz w:val="26"/>
          <w:szCs w:val="26"/>
          <w:lang w:eastAsia="x-none"/>
        </w:rPr>
      </w:pPr>
      <w:r>
        <w:rPr>
          <w:rFonts w:ascii="Times New Roman" w:hAnsi="Times New Roman"/>
          <w:sz w:val="26"/>
          <w:szCs w:val="26"/>
          <w:lang w:eastAsia="x-none"/>
        </w:rPr>
        <w:t xml:space="preserve">- </w:t>
      </w:r>
      <w:r w:rsidR="009E0A37" w:rsidRPr="00226095">
        <w:rPr>
          <w:rFonts w:ascii="Times New Roman" w:hAnsi="Times New Roman"/>
          <w:sz w:val="26"/>
          <w:szCs w:val="26"/>
          <w:lang w:eastAsia="x-none"/>
        </w:rPr>
        <w:t>фактически установленные размеры суточного рациона питания в денежном выражении в разрезе профессиональных образовательных учреждений Мурманской области ниже на 17,5 – 41,0 %% федерального норматива затрат обеспечения детей-сирот питанием на территории Мурманской области для средних профессиональных образовательных учреждений федерального подчинения.</w:t>
      </w:r>
    </w:p>
    <w:p w:rsidR="009E0A37" w:rsidRPr="00226095" w:rsidRDefault="009E0A37" w:rsidP="009E0A37">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Счетной палатой направлены информационные письма в Правительство Мурманской области, в Министерство образования и науки Мурманской области с предложением принять меры по совершенствованию нормативной правовой базы, регламентирующей предоставление бесплатного питания отдельным категориям обучающихся, в том числе детям-сиротам и лицам из их числа, обучающимся на очной форме обучения в профессиональных образовательных учреждениях.</w:t>
      </w:r>
    </w:p>
    <w:p w:rsidR="00B46FB9" w:rsidRDefault="00375C39" w:rsidP="006244EB">
      <w:pPr>
        <w:tabs>
          <w:tab w:val="left" w:pos="284"/>
        </w:tabs>
        <w:suppressAutoHyphens/>
        <w:spacing w:after="0" w:line="240" w:lineRule="auto"/>
        <w:ind w:firstLine="709"/>
        <w:jc w:val="both"/>
        <w:rPr>
          <w:rFonts w:ascii="Times New Roman" w:hAnsi="Times New Roman"/>
          <w:sz w:val="26"/>
          <w:szCs w:val="26"/>
          <w:lang w:eastAsia="x-none"/>
        </w:rPr>
      </w:pPr>
      <w:r w:rsidRPr="00375C39">
        <w:rPr>
          <w:rFonts w:ascii="Times New Roman" w:hAnsi="Times New Roman"/>
          <w:sz w:val="26"/>
          <w:szCs w:val="26"/>
          <w:lang w:eastAsia="x-none"/>
        </w:rPr>
        <w:t>По результатам мероприятия в локальные акты ГАПОУ МО «</w:t>
      </w:r>
      <w:proofErr w:type="spellStart"/>
      <w:r w:rsidRPr="00375C39">
        <w:rPr>
          <w:rFonts w:ascii="Times New Roman" w:hAnsi="Times New Roman"/>
          <w:sz w:val="26"/>
          <w:szCs w:val="26"/>
          <w:lang w:eastAsia="x-none"/>
        </w:rPr>
        <w:t>Оленегорский</w:t>
      </w:r>
      <w:proofErr w:type="spellEnd"/>
      <w:r w:rsidRPr="00375C39">
        <w:rPr>
          <w:rFonts w:ascii="Times New Roman" w:hAnsi="Times New Roman"/>
          <w:sz w:val="26"/>
          <w:szCs w:val="26"/>
          <w:lang w:eastAsia="x-none"/>
        </w:rPr>
        <w:t xml:space="preserve"> горнопромышленный колледж» внесены изменения, согласно которым с 01.12.2020 размер денежной компенсации за один день питания для детей-сирот и лиц из их числа определяется колледжем исходя из рекомендуемого набора продуктов горячего питания в соответствии с требованиями СанПиН 2.4.5.2409-08 и данных еженедельного мониторинга цен на продукты питания Росстата, в результате чего, размер денежной компенсации за один день питания увеличен в ГАПОУ МО «ОГПК», и с декабря 2019 года составил 343 рубля в учебные дни и 377 рублей в выходные (каникулярные) и праздничные дни.</w:t>
      </w:r>
    </w:p>
    <w:p w:rsidR="00E774A0" w:rsidRPr="00E774A0" w:rsidRDefault="00E774A0" w:rsidP="006244EB">
      <w:pPr>
        <w:tabs>
          <w:tab w:val="left" w:pos="284"/>
        </w:tabs>
        <w:suppressAutoHyphens/>
        <w:spacing w:after="0" w:line="240" w:lineRule="auto"/>
        <w:ind w:firstLine="709"/>
        <w:jc w:val="both"/>
        <w:rPr>
          <w:rFonts w:ascii="Times New Roman" w:hAnsi="Times New Roman"/>
          <w:sz w:val="16"/>
          <w:szCs w:val="16"/>
          <w:lang w:eastAsia="x-none"/>
        </w:rPr>
      </w:pPr>
    </w:p>
    <w:p w:rsidR="00E774A0" w:rsidRPr="00226095" w:rsidRDefault="00E774A0" w:rsidP="00E774A0">
      <w:pPr>
        <w:spacing w:after="0" w:line="228" w:lineRule="auto"/>
        <w:ind w:firstLine="709"/>
        <w:jc w:val="both"/>
        <w:rPr>
          <w:rFonts w:eastAsia="Calibri"/>
          <w:sz w:val="26"/>
          <w:szCs w:val="26"/>
          <w:lang w:eastAsia="en-US" w:bidi="ru-RU"/>
        </w:rPr>
      </w:pPr>
      <w:r>
        <w:rPr>
          <w:rFonts w:ascii="Times New Roman" w:eastAsia="Calibri" w:hAnsi="Times New Roman"/>
          <w:b/>
          <w:sz w:val="26"/>
          <w:szCs w:val="26"/>
          <w:lang w:eastAsia="en-US"/>
        </w:rPr>
        <w:t>4</w:t>
      </w:r>
      <w:r w:rsidRPr="002C49D3">
        <w:rPr>
          <w:rFonts w:ascii="Times New Roman" w:eastAsia="Calibri" w:hAnsi="Times New Roman"/>
          <w:b/>
          <w:sz w:val="26"/>
          <w:szCs w:val="26"/>
          <w:lang w:eastAsia="en-US"/>
        </w:rPr>
        <w:t>.</w:t>
      </w:r>
      <w:r>
        <w:rPr>
          <w:rFonts w:ascii="Times New Roman" w:eastAsia="Calibri" w:hAnsi="Times New Roman"/>
          <w:b/>
          <w:sz w:val="26"/>
          <w:szCs w:val="26"/>
          <w:lang w:eastAsia="en-US"/>
        </w:rPr>
        <w:t>8</w:t>
      </w:r>
      <w:r w:rsidRPr="002C49D3">
        <w:rPr>
          <w:rFonts w:ascii="Times New Roman" w:eastAsia="Calibri" w:hAnsi="Times New Roman"/>
          <w:b/>
          <w:sz w:val="26"/>
          <w:szCs w:val="26"/>
          <w:lang w:eastAsia="en-US"/>
        </w:rPr>
        <w:t>.</w:t>
      </w:r>
      <w:r>
        <w:rPr>
          <w:rFonts w:ascii="Times New Roman" w:eastAsia="Calibri" w:hAnsi="Times New Roman"/>
          <w:sz w:val="26"/>
          <w:szCs w:val="26"/>
          <w:lang w:eastAsia="en-US"/>
        </w:rPr>
        <w:t xml:space="preserve"> </w:t>
      </w:r>
      <w:r w:rsidRPr="00226095">
        <w:rPr>
          <w:rFonts w:ascii="Times New Roman" w:eastAsia="Calibri" w:hAnsi="Times New Roman"/>
          <w:sz w:val="26"/>
          <w:szCs w:val="26"/>
          <w:lang w:eastAsia="en-US"/>
        </w:rPr>
        <w:t xml:space="preserve">По результатам </w:t>
      </w:r>
      <w:r>
        <w:rPr>
          <w:rFonts w:ascii="Times New Roman" w:eastAsia="Calibri" w:hAnsi="Times New Roman"/>
          <w:b/>
          <w:sz w:val="26"/>
          <w:szCs w:val="26"/>
          <w:lang w:eastAsia="en-US"/>
        </w:rPr>
        <w:t>а</w:t>
      </w:r>
      <w:r w:rsidRPr="00226095">
        <w:rPr>
          <w:rFonts w:ascii="Times New Roman" w:eastAsia="Calibri" w:hAnsi="Times New Roman"/>
          <w:b/>
          <w:sz w:val="26"/>
          <w:szCs w:val="26"/>
          <w:lang w:eastAsia="en-US"/>
        </w:rPr>
        <w:t>нализ</w:t>
      </w:r>
      <w:r>
        <w:rPr>
          <w:rFonts w:ascii="Times New Roman" w:eastAsia="Calibri" w:hAnsi="Times New Roman"/>
          <w:b/>
          <w:sz w:val="26"/>
          <w:szCs w:val="26"/>
          <w:lang w:eastAsia="en-US"/>
        </w:rPr>
        <w:t>а</w:t>
      </w:r>
      <w:r w:rsidRPr="00226095">
        <w:rPr>
          <w:rFonts w:ascii="Times New Roman" w:eastAsia="Calibri" w:hAnsi="Times New Roman"/>
          <w:b/>
          <w:sz w:val="26"/>
          <w:szCs w:val="26"/>
          <w:lang w:eastAsia="en-US"/>
        </w:rPr>
        <w:t xml:space="preserve"> влияния мероприятий по оптимизации численности муниципальных служащих, проведенных в 2013-2018 годах, на объемы бюджетных расходов, связанных с выполнением функций по решению вопросов местного значения, на примере отдельных муниципальных образований Мурманской области </w:t>
      </w:r>
      <w:r w:rsidRPr="00226095">
        <w:rPr>
          <w:rFonts w:ascii="Times New Roman" w:eastAsia="Calibri" w:hAnsi="Times New Roman"/>
          <w:sz w:val="26"/>
          <w:szCs w:val="26"/>
          <w:lang w:eastAsia="en-US"/>
        </w:rPr>
        <w:t>установлено следующее.</w:t>
      </w:r>
    </w:p>
    <w:p w:rsidR="00E774A0" w:rsidRPr="00226095" w:rsidRDefault="00E774A0" w:rsidP="00E774A0">
      <w:pPr>
        <w:suppressAutoHyphens/>
        <w:spacing w:after="0" w:line="240" w:lineRule="auto"/>
        <w:ind w:firstLine="709"/>
        <w:jc w:val="both"/>
        <w:rPr>
          <w:rFonts w:ascii="Times New Roman" w:hAnsi="Times New Roman"/>
          <w:sz w:val="26"/>
          <w:szCs w:val="26"/>
          <w:lang w:val="x-none" w:eastAsia="x-none"/>
        </w:rPr>
      </w:pPr>
      <w:r w:rsidRPr="00226095">
        <w:rPr>
          <w:rFonts w:ascii="Times New Roman" w:hAnsi="Times New Roman"/>
          <w:sz w:val="26"/>
          <w:szCs w:val="26"/>
          <w:lang w:eastAsia="x-none"/>
        </w:rPr>
        <w:t xml:space="preserve">По результатам анализа на примере </w:t>
      </w:r>
      <w:r w:rsidRPr="00226095">
        <w:rPr>
          <w:rFonts w:ascii="Times New Roman" w:hAnsi="Times New Roman"/>
          <w:sz w:val="26"/>
          <w:szCs w:val="26"/>
          <w:lang w:val="x-none" w:eastAsia="x-none"/>
        </w:rPr>
        <w:t>администраци</w:t>
      </w:r>
      <w:r w:rsidRPr="00226095">
        <w:rPr>
          <w:rFonts w:ascii="Times New Roman" w:hAnsi="Times New Roman"/>
          <w:sz w:val="26"/>
          <w:szCs w:val="26"/>
          <w:lang w:eastAsia="x-none"/>
        </w:rPr>
        <w:t>й</w:t>
      </w:r>
      <w:r w:rsidRPr="00226095">
        <w:rPr>
          <w:rFonts w:ascii="Times New Roman" w:hAnsi="Times New Roman"/>
          <w:sz w:val="26"/>
          <w:szCs w:val="26"/>
          <w:lang w:val="x-none" w:eastAsia="x-none"/>
        </w:rPr>
        <w:t xml:space="preserve"> муниципальных образований г. Оленегорск, </w:t>
      </w:r>
      <w:proofErr w:type="spellStart"/>
      <w:r w:rsidRPr="00226095">
        <w:rPr>
          <w:rFonts w:ascii="Times New Roman" w:hAnsi="Times New Roman"/>
          <w:sz w:val="26"/>
          <w:szCs w:val="26"/>
          <w:lang w:val="x-none" w:eastAsia="x-none"/>
        </w:rPr>
        <w:t>гп</w:t>
      </w:r>
      <w:proofErr w:type="spellEnd"/>
      <w:r w:rsidRPr="00226095">
        <w:rPr>
          <w:rFonts w:ascii="Times New Roman" w:hAnsi="Times New Roman"/>
          <w:sz w:val="26"/>
          <w:szCs w:val="26"/>
          <w:lang w:val="x-none" w:eastAsia="x-none"/>
        </w:rPr>
        <w:t xml:space="preserve">. Никель </w:t>
      </w:r>
      <w:proofErr w:type="spellStart"/>
      <w:r w:rsidRPr="00226095">
        <w:rPr>
          <w:rFonts w:ascii="Times New Roman" w:hAnsi="Times New Roman"/>
          <w:sz w:val="26"/>
          <w:szCs w:val="26"/>
          <w:lang w:val="x-none" w:eastAsia="x-none"/>
        </w:rPr>
        <w:t>Печенгского</w:t>
      </w:r>
      <w:proofErr w:type="spellEnd"/>
      <w:r w:rsidRPr="00226095">
        <w:rPr>
          <w:rFonts w:ascii="Times New Roman" w:hAnsi="Times New Roman"/>
          <w:sz w:val="26"/>
          <w:szCs w:val="26"/>
          <w:lang w:val="x-none" w:eastAsia="x-none"/>
        </w:rPr>
        <w:t xml:space="preserve"> района, </w:t>
      </w:r>
      <w:proofErr w:type="spellStart"/>
      <w:r w:rsidRPr="00226095">
        <w:rPr>
          <w:rFonts w:ascii="Times New Roman" w:hAnsi="Times New Roman"/>
          <w:sz w:val="26"/>
          <w:szCs w:val="26"/>
          <w:lang w:val="x-none" w:eastAsia="x-none"/>
        </w:rPr>
        <w:t>гп</w:t>
      </w:r>
      <w:proofErr w:type="spellEnd"/>
      <w:r w:rsidRPr="00226095">
        <w:rPr>
          <w:rFonts w:ascii="Times New Roman" w:hAnsi="Times New Roman"/>
          <w:sz w:val="26"/>
          <w:szCs w:val="26"/>
          <w:lang w:val="x-none" w:eastAsia="x-none"/>
        </w:rPr>
        <w:t xml:space="preserve">. Заполярный </w:t>
      </w:r>
      <w:proofErr w:type="spellStart"/>
      <w:r w:rsidRPr="00226095">
        <w:rPr>
          <w:rFonts w:ascii="Times New Roman" w:hAnsi="Times New Roman"/>
          <w:sz w:val="26"/>
          <w:szCs w:val="26"/>
          <w:lang w:val="x-none" w:eastAsia="x-none"/>
        </w:rPr>
        <w:t>Печенгского</w:t>
      </w:r>
      <w:proofErr w:type="spellEnd"/>
      <w:r w:rsidRPr="00226095">
        <w:rPr>
          <w:rFonts w:ascii="Times New Roman" w:hAnsi="Times New Roman"/>
          <w:sz w:val="26"/>
          <w:szCs w:val="26"/>
          <w:lang w:val="x-none" w:eastAsia="x-none"/>
        </w:rPr>
        <w:t xml:space="preserve"> района</w:t>
      </w:r>
      <w:r w:rsidRPr="00226095">
        <w:rPr>
          <w:rFonts w:ascii="Times New Roman" w:hAnsi="Times New Roman"/>
          <w:sz w:val="26"/>
          <w:szCs w:val="26"/>
          <w:lang w:eastAsia="x-none"/>
        </w:rPr>
        <w:t xml:space="preserve"> Счетной палатой сделаны следующие выводы:</w:t>
      </w:r>
    </w:p>
    <w:p w:rsidR="00E774A0" w:rsidRPr="00226095" w:rsidRDefault="00E774A0" w:rsidP="00E774A0">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Pr="00226095">
        <w:rPr>
          <w:rFonts w:ascii="Times New Roman" w:hAnsi="Times New Roman"/>
          <w:sz w:val="26"/>
          <w:szCs w:val="26"/>
          <w:lang w:eastAsia="x-none"/>
        </w:rPr>
        <w:t xml:space="preserve"> расходы на содержание органов местного самоуправления во всех обследованных муниципальных образованиях осуществлялись в пределах, установленных Правительством Мурманской области нормативных значений, т.е. с соблюдением нормы пункта 2 статьи 136 Бюджетного кодекса РФ, за исключением отдельных допустимых случаев;</w:t>
      </w:r>
    </w:p>
    <w:p w:rsidR="00E774A0" w:rsidRPr="00226095" w:rsidRDefault="00E774A0" w:rsidP="00E774A0">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Pr="00226095">
        <w:rPr>
          <w:rFonts w:ascii="Times New Roman" w:hAnsi="Times New Roman"/>
          <w:sz w:val="26"/>
          <w:szCs w:val="26"/>
          <w:lang w:eastAsia="x-none"/>
        </w:rPr>
        <w:t xml:space="preserve"> изменение общего количества должностей муниципальной службы во всех обследованных муниципальных образованиях в течение 2013-2018 годов не значительно (ежегодно от 1 до 4 должностей), и в основном обусловлено необходимостью изменений в рамках текущей деятельности. Расходы на содержание органов местного самоуправления увеличились на 8,5 – 10,8 %% по отношению к объему расходов 2013 - 2014 годов, что в основном связано с индексацией денежного содержания муниципальных служащих органов местного самоуправления с 01.10.2013 – на 5,5 %, с 01.10.2014 – на 5,0 % и с 01.01.2018 – на 4,0 процента;</w:t>
      </w:r>
    </w:p>
    <w:p w:rsidR="00E774A0" w:rsidRPr="00226095" w:rsidRDefault="00E774A0" w:rsidP="00E774A0">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lastRenderedPageBreak/>
        <w:sym w:font="Symbol" w:char="F0B7"/>
      </w:r>
      <w:r w:rsidRPr="00226095">
        <w:rPr>
          <w:rFonts w:ascii="Times New Roman" w:hAnsi="Times New Roman"/>
          <w:sz w:val="26"/>
          <w:szCs w:val="26"/>
          <w:lang w:eastAsia="x-none"/>
        </w:rPr>
        <w:t xml:space="preserve"> в целях реализации </w:t>
      </w:r>
      <w:r w:rsidRPr="00226095">
        <w:rPr>
          <w:rFonts w:ascii="Times New Roman" w:hAnsi="Times New Roman"/>
          <w:color w:val="000000"/>
          <w:sz w:val="26"/>
          <w:szCs w:val="26"/>
        </w:rPr>
        <w:t>удовлетворения общественных потребностей в сферах образования, культуры и спорта, а также в целях оказания (предоставления) различных услуг социально-экономического характера, сопровождающих процесс реализации управленческих полномочий органов местного самоуправления, увеличено</w:t>
      </w:r>
      <w:r w:rsidRPr="00226095">
        <w:rPr>
          <w:rFonts w:ascii="Times New Roman" w:hAnsi="Times New Roman"/>
          <w:sz w:val="26"/>
          <w:szCs w:val="26"/>
          <w:lang w:eastAsia="x-none"/>
        </w:rPr>
        <w:t xml:space="preserve"> количество муниципальных учреждений. </w:t>
      </w:r>
      <w:r w:rsidRPr="00226095">
        <w:rPr>
          <w:rFonts w:ascii="Times New Roman" w:hAnsi="Times New Roman"/>
          <w:color w:val="000000"/>
          <w:sz w:val="26"/>
          <w:szCs w:val="26"/>
        </w:rPr>
        <w:t>Случаев наделения муниципальных бюджетных и автономных учреждений властными и управленческими функциями органов местного самоуправления не выявлено, что указывает на соблюдение нормы пункта 3 статьи 15 Федерального закона от 26.07.2006 № 135-ФЗ «О защите конкуренции»</w:t>
      </w:r>
      <w:r>
        <w:rPr>
          <w:rFonts w:ascii="Times New Roman" w:hAnsi="Times New Roman"/>
          <w:color w:val="000000"/>
          <w:sz w:val="26"/>
          <w:szCs w:val="26"/>
        </w:rPr>
        <w:t>;</w:t>
      </w:r>
    </w:p>
    <w:p w:rsidR="00E774A0" w:rsidRPr="00226095" w:rsidRDefault="00E774A0" w:rsidP="00E774A0">
      <w:pPr>
        <w:suppressAutoHyphens/>
        <w:spacing w:after="0" w:line="240" w:lineRule="auto"/>
        <w:ind w:left="709"/>
        <w:jc w:val="both"/>
        <w:rPr>
          <w:rFonts w:ascii="Times New Roman" w:hAnsi="Times New Roman"/>
          <w:sz w:val="26"/>
          <w:szCs w:val="26"/>
          <w:lang w:eastAsia="x-none"/>
        </w:rPr>
      </w:pPr>
      <w:r>
        <w:rPr>
          <w:rFonts w:ascii="Times New Roman" w:hAnsi="Times New Roman"/>
          <w:sz w:val="26"/>
          <w:szCs w:val="26"/>
          <w:lang w:eastAsia="x-none"/>
        </w:rPr>
        <w:sym w:font="Symbol" w:char="F0B7"/>
      </w:r>
      <w:r w:rsidRPr="00226095">
        <w:rPr>
          <w:rFonts w:ascii="Times New Roman" w:hAnsi="Times New Roman"/>
          <w:sz w:val="26"/>
          <w:szCs w:val="26"/>
          <w:lang w:eastAsia="x-none"/>
        </w:rPr>
        <w:t xml:space="preserve"> объем фактических расходов на содержание муниципальных учреждений в исследуемом периоде:</w:t>
      </w:r>
    </w:p>
    <w:p w:rsidR="00E774A0" w:rsidRPr="00226095" w:rsidRDefault="00E774A0" w:rsidP="00E774A0">
      <w:pPr>
        <w:suppressAutoHyphens/>
        <w:spacing w:after="0" w:line="240" w:lineRule="auto"/>
        <w:ind w:left="1276"/>
        <w:jc w:val="both"/>
        <w:rPr>
          <w:rFonts w:ascii="Times New Roman" w:hAnsi="Times New Roman"/>
          <w:sz w:val="26"/>
          <w:szCs w:val="26"/>
          <w:lang w:eastAsia="x-none"/>
        </w:rPr>
      </w:pPr>
      <w:r>
        <w:rPr>
          <w:rFonts w:ascii="Times New Roman" w:hAnsi="Times New Roman"/>
          <w:sz w:val="26"/>
          <w:szCs w:val="26"/>
          <w:lang w:eastAsia="x-none"/>
        </w:rPr>
        <w:t xml:space="preserve">- </w:t>
      </w:r>
      <w:r w:rsidRPr="00226095">
        <w:rPr>
          <w:rFonts w:ascii="Times New Roman" w:hAnsi="Times New Roman"/>
          <w:sz w:val="26"/>
          <w:szCs w:val="26"/>
          <w:lang w:eastAsia="x-none"/>
        </w:rPr>
        <w:t>в г. Оленегорске увеличен на 39,3 % при увеличении фактической численности работников муниципальных учреждений на 3,7 %;</w:t>
      </w:r>
    </w:p>
    <w:p w:rsidR="00E774A0" w:rsidRPr="00226095" w:rsidRDefault="00E774A0" w:rsidP="00E774A0">
      <w:pPr>
        <w:suppressAutoHyphens/>
        <w:spacing w:after="0" w:line="240" w:lineRule="auto"/>
        <w:ind w:left="1276"/>
        <w:jc w:val="both"/>
        <w:rPr>
          <w:rFonts w:ascii="Times New Roman" w:hAnsi="Times New Roman"/>
          <w:sz w:val="26"/>
          <w:szCs w:val="26"/>
          <w:lang w:eastAsia="x-none"/>
        </w:rPr>
      </w:pPr>
      <w:r>
        <w:rPr>
          <w:rFonts w:ascii="Times New Roman" w:hAnsi="Times New Roman"/>
          <w:sz w:val="26"/>
          <w:szCs w:val="26"/>
          <w:lang w:eastAsia="x-none"/>
        </w:rPr>
        <w:t xml:space="preserve">- </w:t>
      </w:r>
      <w:r w:rsidRPr="00226095">
        <w:rPr>
          <w:rFonts w:ascii="Times New Roman" w:hAnsi="Times New Roman"/>
          <w:sz w:val="26"/>
          <w:szCs w:val="26"/>
          <w:lang w:eastAsia="x-none"/>
        </w:rPr>
        <w:t xml:space="preserve">в </w:t>
      </w:r>
      <w:proofErr w:type="spellStart"/>
      <w:r w:rsidRPr="00226095">
        <w:rPr>
          <w:rFonts w:ascii="Times New Roman" w:hAnsi="Times New Roman"/>
          <w:sz w:val="26"/>
          <w:szCs w:val="26"/>
          <w:lang w:eastAsia="x-none"/>
        </w:rPr>
        <w:t>гп</w:t>
      </w:r>
      <w:proofErr w:type="spellEnd"/>
      <w:r w:rsidRPr="00226095">
        <w:rPr>
          <w:rFonts w:ascii="Times New Roman" w:hAnsi="Times New Roman"/>
          <w:sz w:val="26"/>
          <w:szCs w:val="26"/>
          <w:lang w:eastAsia="x-none"/>
        </w:rPr>
        <w:t xml:space="preserve">. Никель </w:t>
      </w:r>
      <w:proofErr w:type="spellStart"/>
      <w:r w:rsidRPr="00226095">
        <w:rPr>
          <w:rFonts w:ascii="Times New Roman" w:hAnsi="Times New Roman"/>
          <w:sz w:val="26"/>
          <w:szCs w:val="26"/>
          <w:lang w:eastAsia="x-none"/>
        </w:rPr>
        <w:t>Печенгского</w:t>
      </w:r>
      <w:proofErr w:type="spellEnd"/>
      <w:r w:rsidRPr="00226095">
        <w:rPr>
          <w:rFonts w:ascii="Times New Roman" w:hAnsi="Times New Roman"/>
          <w:sz w:val="26"/>
          <w:szCs w:val="26"/>
          <w:lang w:eastAsia="x-none"/>
        </w:rPr>
        <w:t xml:space="preserve"> района увеличен на 94,1 % при увеличении фактической численности работников муниципальных учреждений на</w:t>
      </w:r>
      <w:r w:rsidR="002A4E08">
        <w:rPr>
          <w:rFonts w:ascii="Times New Roman" w:hAnsi="Times New Roman"/>
          <w:sz w:val="26"/>
          <w:szCs w:val="26"/>
          <w:lang w:eastAsia="x-none"/>
        </w:rPr>
        <w:t xml:space="preserve">     </w:t>
      </w:r>
      <w:r w:rsidRPr="00226095">
        <w:rPr>
          <w:rFonts w:ascii="Times New Roman" w:hAnsi="Times New Roman"/>
          <w:sz w:val="26"/>
          <w:szCs w:val="26"/>
          <w:lang w:eastAsia="x-none"/>
        </w:rPr>
        <w:t>36,7 %;</w:t>
      </w:r>
    </w:p>
    <w:p w:rsidR="00E774A0" w:rsidRPr="00226095" w:rsidRDefault="00E774A0" w:rsidP="00E774A0">
      <w:pPr>
        <w:suppressAutoHyphens/>
        <w:spacing w:after="0" w:line="240" w:lineRule="auto"/>
        <w:ind w:left="1276"/>
        <w:jc w:val="both"/>
        <w:rPr>
          <w:rFonts w:ascii="Times New Roman" w:hAnsi="Times New Roman"/>
          <w:sz w:val="26"/>
          <w:szCs w:val="26"/>
          <w:lang w:eastAsia="x-none"/>
        </w:rPr>
      </w:pPr>
      <w:r>
        <w:rPr>
          <w:rFonts w:ascii="Times New Roman" w:hAnsi="Times New Roman"/>
          <w:sz w:val="26"/>
          <w:szCs w:val="26"/>
          <w:lang w:eastAsia="x-none"/>
        </w:rPr>
        <w:t xml:space="preserve">- </w:t>
      </w:r>
      <w:r w:rsidRPr="00226095">
        <w:rPr>
          <w:rFonts w:ascii="Times New Roman" w:hAnsi="Times New Roman"/>
          <w:sz w:val="26"/>
          <w:szCs w:val="26"/>
          <w:lang w:eastAsia="x-none"/>
        </w:rPr>
        <w:t xml:space="preserve">в </w:t>
      </w:r>
      <w:proofErr w:type="spellStart"/>
      <w:r w:rsidRPr="00226095">
        <w:rPr>
          <w:rFonts w:ascii="Times New Roman" w:hAnsi="Times New Roman"/>
          <w:sz w:val="26"/>
          <w:szCs w:val="26"/>
          <w:lang w:eastAsia="x-none"/>
        </w:rPr>
        <w:t>гп</w:t>
      </w:r>
      <w:proofErr w:type="spellEnd"/>
      <w:r w:rsidRPr="00226095">
        <w:rPr>
          <w:rFonts w:ascii="Times New Roman" w:hAnsi="Times New Roman"/>
          <w:sz w:val="26"/>
          <w:szCs w:val="26"/>
          <w:lang w:eastAsia="x-none"/>
        </w:rPr>
        <w:t xml:space="preserve">. Заполярный </w:t>
      </w:r>
      <w:proofErr w:type="spellStart"/>
      <w:r w:rsidRPr="00226095">
        <w:rPr>
          <w:rFonts w:ascii="Times New Roman" w:hAnsi="Times New Roman"/>
          <w:sz w:val="26"/>
          <w:szCs w:val="26"/>
          <w:lang w:eastAsia="x-none"/>
        </w:rPr>
        <w:t>Печенгского</w:t>
      </w:r>
      <w:proofErr w:type="spellEnd"/>
      <w:r w:rsidRPr="00226095">
        <w:rPr>
          <w:rFonts w:ascii="Times New Roman" w:hAnsi="Times New Roman"/>
          <w:sz w:val="26"/>
          <w:szCs w:val="26"/>
          <w:lang w:eastAsia="x-none"/>
        </w:rPr>
        <w:t xml:space="preserve"> района увеличен на 72,8 % при снижении фактической численности работников в </w:t>
      </w:r>
      <w:proofErr w:type="spellStart"/>
      <w:r w:rsidRPr="00226095">
        <w:rPr>
          <w:rFonts w:ascii="Times New Roman" w:hAnsi="Times New Roman"/>
          <w:sz w:val="26"/>
          <w:szCs w:val="26"/>
          <w:lang w:eastAsia="x-none"/>
        </w:rPr>
        <w:t>гп</w:t>
      </w:r>
      <w:proofErr w:type="spellEnd"/>
      <w:r w:rsidRPr="00226095">
        <w:rPr>
          <w:rFonts w:ascii="Times New Roman" w:hAnsi="Times New Roman"/>
          <w:sz w:val="26"/>
          <w:szCs w:val="26"/>
          <w:lang w:eastAsia="x-none"/>
        </w:rPr>
        <w:t xml:space="preserve">. Заполярный </w:t>
      </w:r>
      <w:proofErr w:type="spellStart"/>
      <w:r w:rsidRPr="00226095">
        <w:rPr>
          <w:rFonts w:ascii="Times New Roman" w:hAnsi="Times New Roman"/>
          <w:sz w:val="26"/>
          <w:szCs w:val="26"/>
          <w:lang w:eastAsia="x-none"/>
        </w:rPr>
        <w:t>Печенгского</w:t>
      </w:r>
      <w:proofErr w:type="spellEnd"/>
      <w:r w:rsidRPr="00226095">
        <w:rPr>
          <w:rFonts w:ascii="Times New Roman" w:hAnsi="Times New Roman"/>
          <w:sz w:val="26"/>
          <w:szCs w:val="26"/>
          <w:lang w:eastAsia="x-none"/>
        </w:rPr>
        <w:t xml:space="preserve"> района на 20,4 % (в связи с приостановлением деятельности одного из учреждений).</w:t>
      </w:r>
    </w:p>
    <w:p w:rsidR="00E774A0" w:rsidRPr="00226095" w:rsidRDefault="00E774A0" w:rsidP="00E774A0">
      <w:pPr>
        <w:suppressAutoHyphens/>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Рост численности работников муниципальных учреждений, необходимость индексации их заработной платы, а также необходимость повышения уровня оплаты труда отдельных категорий работников бюджетной сферы в целях исполнения Указов Президента РФ являются основными факторами, влияющими на общий объем фактических расходов на содержание муниципальных учреждений в исследуемом периоде;</w:t>
      </w:r>
    </w:p>
    <w:p w:rsidR="00E774A0" w:rsidRPr="00226095" w:rsidRDefault="00E774A0" w:rsidP="00E774A0">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Pr="00226095">
        <w:rPr>
          <w:rFonts w:ascii="Times New Roman" w:hAnsi="Times New Roman"/>
          <w:sz w:val="26"/>
          <w:szCs w:val="26"/>
          <w:lang w:eastAsia="x-none"/>
        </w:rPr>
        <w:t xml:space="preserve"> создание (расширение сферы деятельности) в исследуемом периоде муниципальных учреждений, наделенных полномочиями по реализации мероприятий по решению отдельных вопросов местного значения, не оказало влияния на изменение объема расходов по содержанию органов местного самоуправления в обследованных муниципальных образованиях;</w:t>
      </w:r>
    </w:p>
    <w:p w:rsidR="00E774A0" w:rsidRPr="00226095" w:rsidRDefault="00E774A0" w:rsidP="00E774A0">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Pr="00226095">
        <w:rPr>
          <w:rFonts w:ascii="Times New Roman" w:hAnsi="Times New Roman"/>
          <w:sz w:val="26"/>
          <w:szCs w:val="26"/>
          <w:lang w:eastAsia="x-none"/>
        </w:rPr>
        <w:t xml:space="preserve"> мероприятия по оптимизации численности муниципальных служащих, проведенные в 2013 – 2018 году, не имеют долгосрочного положительного эффекта по снижению бюджетных расходов муниципальных образований, направляемых на выполнение функций по решению вопросов местного значения. </w:t>
      </w:r>
    </w:p>
    <w:p w:rsidR="00E774A0" w:rsidRPr="00226095" w:rsidRDefault="00E774A0" w:rsidP="00E774A0">
      <w:pPr>
        <w:widowControl w:val="0"/>
        <w:suppressAutoHyphens/>
        <w:autoSpaceDE w:val="0"/>
        <w:autoSpaceDN w:val="0"/>
        <w:adjustRightInd w:val="0"/>
        <w:spacing w:after="0" w:line="240" w:lineRule="auto"/>
        <w:ind w:firstLine="709"/>
        <w:jc w:val="both"/>
        <w:rPr>
          <w:rFonts w:ascii="Times New Roman" w:hAnsi="Times New Roman"/>
          <w:sz w:val="26"/>
          <w:szCs w:val="26"/>
          <w:lang w:eastAsia="x-none"/>
        </w:rPr>
      </w:pPr>
      <w:r w:rsidRPr="00226095">
        <w:rPr>
          <w:rFonts w:ascii="Times New Roman" w:hAnsi="Times New Roman"/>
          <w:sz w:val="26"/>
          <w:szCs w:val="26"/>
          <w:lang w:eastAsia="x-none"/>
        </w:rPr>
        <w:t>Отчет направлен Счетной палатой в Мурманскую областную Думу и в Министерство финансов Мурманской области.</w:t>
      </w:r>
    </w:p>
    <w:p w:rsidR="00E774A0" w:rsidRPr="00E774A0" w:rsidRDefault="00E774A0" w:rsidP="006244EB">
      <w:pPr>
        <w:tabs>
          <w:tab w:val="left" w:pos="284"/>
        </w:tabs>
        <w:suppressAutoHyphens/>
        <w:spacing w:after="0" w:line="240" w:lineRule="auto"/>
        <w:ind w:firstLine="709"/>
        <w:jc w:val="both"/>
        <w:rPr>
          <w:rFonts w:ascii="Times New Roman" w:hAnsi="Times New Roman"/>
          <w:sz w:val="14"/>
          <w:szCs w:val="14"/>
          <w:lang w:eastAsia="x-none"/>
        </w:rPr>
      </w:pPr>
    </w:p>
    <w:p w:rsidR="00B07129" w:rsidRPr="00EB2C29" w:rsidRDefault="00D63953" w:rsidP="00007497">
      <w:pPr>
        <w:tabs>
          <w:tab w:val="left" w:pos="284"/>
        </w:tabs>
        <w:suppressAutoHyphens/>
        <w:spacing w:after="0" w:line="240" w:lineRule="auto"/>
        <w:ind w:firstLine="709"/>
        <w:jc w:val="both"/>
        <w:rPr>
          <w:rFonts w:ascii="Times New Roman" w:hAnsi="Times New Roman"/>
          <w:b/>
          <w:sz w:val="26"/>
          <w:szCs w:val="26"/>
          <w:lang w:eastAsia="x-none"/>
        </w:rPr>
      </w:pPr>
      <w:r>
        <w:rPr>
          <w:rFonts w:ascii="Times New Roman" w:hAnsi="Times New Roman"/>
          <w:b/>
          <w:sz w:val="26"/>
          <w:szCs w:val="26"/>
          <w:lang w:eastAsia="x-none"/>
        </w:rPr>
        <w:t>4</w:t>
      </w:r>
      <w:r w:rsidR="00B07129">
        <w:rPr>
          <w:rFonts w:ascii="Times New Roman" w:hAnsi="Times New Roman"/>
          <w:b/>
          <w:sz w:val="26"/>
          <w:szCs w:val="26"/>
          <w:lang w:eastAsia="x-none"/>
        </w:rPr>
        <w:t>.</w:t>
      </w:r>
      <w:r w:rsidR="00007497">
        <w:rPr>
          <w:rFonts w:ascii="Times New Roman" w:hAnsi="Times New Roman"/>
          <w:b/>
          <w:sz w:val="26"/>
          <w:szCs w:val="26"/>
          <w:lang w:eastAsia="x-none"/>
        </w:rPr>
        <w:t>9</w:t>
      </w:r>
      <w:r w:rsidR="00895498">
        <w:rPr>
          <w:rFonts w:ascii="Times New Roman" w:hAnsi="Times New Roman"/>
          <w:b/>
          <w:sz w:val="26"/>
          <w:szCs w:val="26"/>
          <w:lang w:eastAsia="x-none"/>
        </w:rPr>
        <w:t>.</w:t>
      </w:r>
      <w:r w:rsidR="00B07129">
        <w:rPr>
          <w:rFonts w:ascii="Times New Roman" w:hAnsi="Times New Roman"/>
          <w:b/>
          <w:sz w:val="26"/>
          <w:szCs w:val="26"/>
          <w:lang w:eastAsia="x-none"/>
        </w:rPr>
        <w:t xml:space="preserve"> И</w:t>
      </w:r>
      <w:r w:rsidR="00B07129" w:rsidRPr="00EB2C29">
        <w:rPr>
          <w:rFonts w:ascii="Times New Roman" w:hAnsi="Times New Roman"/>
          <w:b/>
          <w:sz w:val="26"/>
          <w:szCs w:val="26"/>
          <w:lang w:eastAsia="x-none"/>
        </w:rPr>
        <w:t>нформационные материалы</w:t>
      </w:r>
    </w:p>
    <w:p w:rsidR="00EB2C29" w:rsidRPr="00B07129" w:rsidRDefault="00EB2C29" w:rsidP="00EB2C29">
      <w:pPr>
        <w:tabs>
          <w:tab w:val="left" w:pos="284"/>
        </w:tabs>
        <w:suppressAutoHyphens/>
        <w:spacing w:after="0" w:line="240" w:lineRule="auto"/>
        <w:ind w:firstLine="709"/>
        <w:jc w:val="both"/>
        <w:rPr>
          <w:rFonts w:ascii="Times New Roman" w:hAnsi="Times New Roman"/>
          <w:bCs/>
          <w:sz w:val="26"/>
          <w:szCs w:val="26"/>
          <w:lang w:eastAsia="x-none"/>
        </w:rPr>
      </w:pPr>
      <w:r w:rsidRPr="00B07129">
        <w:rPr>
          <w:rFonts w:ascii="Times New Roman" w:hAnsi="Times New Roman"/>
          <w:bCs/>
          <w:sz w:val="26"/>
          <w:szCs w:val="26"/>
          <w:lang w:eastAsia="x-none"/>
        </w:rPr>
        <w:t>В соответствии с Планом работы подготовлены и направлены в Мурманскую областную Думу следующие информационные материалы.</w:t>
      </w:r>
    </w:p>
    <w:p w:rsidR="00EB2C29" w:rsidRPr="00226095" w:rsidRDefault="00D63953" w:rsidP="00EB2C29">
      <w:pPr>
        <w:spacing w:after="0" w:line="240" w:lineRule="auto"/>
        <w:ind w:firstLine="709"/>
        <w:jc w:val="both"/>
        <w:rPr>
          <w:rFonts w:ascii="Times New Roman" w:hAnsi="Times New Roman"/>
          <w:b/>
          <w:sz w:val="26"/>
          <w:szCs w:val="26"/>
        </w:rPr>
      </w:pPr>
      <w:r>
        <w:rPr>
          <w:rFonts w:ascii="Times New Roman" w:hAnsi="Times New Roman"/>
          <w:b/>
          <w:sz w:val="26"/>
          <w:szCs w:val="26"/>
        </w:rPr>
        <w:t>4</w:t>
      </w:r>
      <w:r w:rsidR="002C49D3">
        <w:rPr>
          <w:rFonts w:ascii="Times New Roman" w:hAnsi="Times New Roman"/>
          <w:b/>
          <w:sz w:val="26"/>
          <w:szCs w:val="26"/>
        </w:rPr>
        <w:t>.</w:t>
      </w:r>
      <w:r w:rsidR="00007497">
        <w:rPr>
          <w:rFonts w:ascii="Times New Roman" w:hAnsi="Times New Roman"/>
          <w:b/>
          <w:sz w:val="26"/>
          <w:szCs w:val="26"/>
        </w:rPr>
        <w:t>9</w:t>
      </w:r>
      <w:r w:rsidR="00EB2C29" w:rsidRPr="00226095">
        <w:rPr>
          <w:rFonts w:ascii="Times New Roman" w:hAnsi="Times New Roman"/>
          <w:b/>
          <w:sz w:val="26"/>
          <w:szCs w:val="26"/>
        </w:rPr>
        <w:t>.</w:t>
      </w:r>
      <w:r w:rsidR="00895498">
        <w:rPr>
          <w:rFonts w:ascii="Times New Roman" w:hAnsi="Times New Roman"/>
          <w:b/>
          <w:sz w:val="26"/>
          <w:szCs w:val="26"/>
        </w:rPr>
        <w:t>1.</w:t>
      </w:r>
      <w:r w:rsidR="00EB2C29" w:rsidRPr="00226095">
        <w:rPr>
          <w:rFonts w:ascii="Times New Roman" w:hAnsi="Times New Roman"/>
          <w:b/>
          <w:sz w:val="26"/>
          <w:szCs w:val="26"/>
        </w:rPr>
        <w:t xml:space="preserve"> Информация об изменениях поступления налога на доходы физических лиц в консолидированный бюджет Мурманской области в 2014-2018 годах на примере муниципальных образований городское поселение Никель и городское поселение Заполярный </w:t>
      </w:r>
      <w:proofErr w:type="spellStart"/>
      <w:r w:rsidR="00EB2C29" w:rsidRPr="00226095">
        <w:rPr>
          <w:rFonts w:ascii="Times New Roman" w:hAnsi="Times New Roman"/>
          <w:b/>
          <w:sz w:val="26"/>
          <w:szCs w:val="26"/>
        </w:rPr>
        <w:t>Печенгского</w:t>
      </w:r>
      <w:proofErr w:type="spellEnd"/>
      <w:r w:rsidR="00EB2C29" w:rsidRPr="00226095">
        <w:rPr>
          <w:rFonts w:ascii="Times New Roman" w:hAnsi="Times New Roman"/>
          <w:b/>
          <w:sz w:val="26"/>
          <w:szCs w:val="26"/>
        </w:rPr>
        <w:t xml:space="preserve"> района Мурманской области и анализ причин изменения сумм доходов по указанному налогу</w:t>
      </w:r>
    </w:p>
    <w:p w:rsidR="00EB2C29" w:rsidRPr="00226095" w:rsidRDefault="00EB2C29" w:rsidP="00EB2C2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В соответствии с пунктом 2 статьи 61 Бюджетного кодекса РФ к налоговым доходам местных бюджетов городских поселений относятся доходы от перечисления налога на доходы физических лиц по нормативу 10 процентов.</w:t>
      </w:r>
    </w:p>
    <w:p w:rsidR="00EB2C29" w:rsidRPr="00226095" w:rsidRDefault="00EB2C29" w:rsidP="00EB2C2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lastRenderedPageBreak/>
        <w:t xml:space="preserve">В 2014-2018 годах доля поступлений налога на доходы физических лиц (далее – НДФЛ) в консолидированный бюджет Мурманской области с территорий </w:t>
      </w:r>
      <w:proofErr w:type="spellStart"/>
      <w:r w:rsidRPr="00226095">
        <w:rPr>
          <w:rFonts w:ascii="Times New Roman" w:hAnsi="Times New Roman"/>
          <w:sz w:val="26"/>
          <w:szCs w:val="26"/>
        </w:rPr>
        <w:t>г.п.Никель</w:t>
      </w:r>
      <w:proofErr w:type="spellEnd"/>
      <w:r w:rsidRPr="00226095">
        <w:rPr>
          <w:rFonts w:ascii="Times New Roman" w:hAnsi="Times New Roman"/>
          <w:sz w:val="26"/>
          <w:szCs w:val="26"/>
        </w:rPr>
        <w:t xml:space="preserve"> и </w:t>
      </w:r>
      <w:proofErr w:type="spellStart"/>
      <w:r w:rsidRPr="00226095">
        <w:rPr>
          <w:rFonts w:ascii="Times New Roman" w:hAnsi="Times New Roman"/>
          <w:sz w:val="26"/>
          <w:szCs w:val="26"/>
        </w:rPr>
        <w:t>г.п.Заполярный</w:t>
      </w:r>
      <w:proofErr w:type="spellEnd"/>
      <w:r w:rsidRPr="00226095">
        <w:rPr>
          <w:rFonts w:ascii="Times New Roman" w:hAnsi="Times New Roman"/>
          <w:sz w:val="26"/>
          <w:szCs w:val="26"/>
        </w:rPr>
        <w:t xml:space="preserve"> незначительна:</w:t>
      </w:r>
    </w:p>
    <w:p w:rsidR="00EB2C29" w:rsidRPr="00226095" w:rsidRDefault="00444319" w:rsidP="00EB2C2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EB2C29" w:rsidRPr="00226095">
        <w:rPr>
          <w:rFonts w:ascii="Times New Roman" w:hAnsi="Times New Roman"/>
          <w:sz w:val="26"/>
          <w:szCs w:val="26"/>
        </w:rPr>
        <w:t xml:space="preserve"> от 1,4 % в 2018 году до 1,6 % в 2014 и 2016 годах с территории </w:t>
      </w:r>
      <w:proofErr w:type="spellStart"/>
      <w:r w:rsidR="00EB2C29" w:rsidRPr="00226095">
        <w:rPr>
          <w:rFonts w:ascii="Times New Roman" w:hAnsi="Times New Roman"/>
          <w:sz w:val="26"/>
          <w:szCs w:val="26"/>
        </w:rPr>
        <w:t>г.п.Никель</w:t>
      </w:r>
      <w:proofErr w:type="spellEnd"/>
      <w:r w:rsidR="00EB2C29" w:rsidRPr="00226095">
        <w:rPr>
          <w:rFonts w:ascii="Times New Roman" w:hAnsi="Times New Roman"/>
          <w:sz w:val="26"/>
          <w:szCs w:val="26"/>
        </w:rPr>
        <w:t>;</w:t>
      </w:r>
    </w:p>
    <w:p w:rsidR="00EB2C29" w:rsidRPr="00226095" w:rsidRDefault="00444319" w:rsidP="00EB2C2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EB2C29" w:rsidRPr="00226095">
        <w:rPr>
          <w:rFonts w:ascii="Times New Roman" w:hAnsi="Times New Roman"/>
          <w:sz w:val="26"/>
          <w:szCs w:val="26"/>
        </w:rPr>
        <w:t xml:space="preserve"> от 2,1 % в 2018 году до 2,4 % в 2016 и 2017 годах с территории </w:t>
      </w:r>
      <w:proofErr w:type="spellStart"/>
      <w:r w:rsidR="00EB2C29" w:rsidRPr="00226095">
        <w:rPr>
          <w:rFonts w:ascii="Times New Roman" w:hAnsi="Times New Roman"/>
          <w:sz w:val="26"/>
          <w:szCs w:val="26"/>
        </w:rPr>
        <w:t>г.п.Заполярный</w:t>
      </w:r>
      <w:proofErr w:type="spellEnd"/>
      <w:r w:rsidR="00EB2C29" w:rsidRPr="00226095">
        <w:rPr>
          <w:rFonts w:ascii="Times New Roman" w:hAnsi="Times New Roman"/>
          <w:sz w:val="26"/>
          <w:szCs w:val="26"/>
        </w:rPr>
        <w:t>.</w:t>
      </w:r>
    </w:p>
    <w:p w:rsidR="00EB2C29" w:rsidRPr="00226095" w:rsidRDefault="00EB2C29" w:rsidP="00EB2C2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 xml:space="preserve">Также наблюдается снижение доли НДФЛ с территорий </w:t>
      </w:r>
      <w:proofErr w:type="spellStart"/>
      <w:r w:rsidRPr="00226095">
        <w:rPr>
          <w:rFonts w:ascii="Times New Roman" w:hAnsi="Times New Roman"/>
          <w:sz w:val="26"/>
          <w:szCs w:val="26"/>
        </w:rPr>
        <w:t>г.п.Никель</w:t>
      </w:r>
      <w:proofErr w:type="spellEnd"/>
      <w:r w:rsidRPr="00226095">
        <w:rPr>
          <w:rFonts w:ascii="Times New Roman" w:hAnsi="Times New Roman"/>
          <w:sz w:val="26"/>
          <w:szCs w:val="26"/>
        </w:rPr>
        <w:t xml:space="preserve"> и </w:t>
      </w:r>
      <w:proofErr w:type="spellStart"/>
      <w:r w:rsidRPr="00226095">
        <w:rPr>
          <w:rFonts w:ascii="Times New Roman" w:hAnsi="Times New Roman"/>
          <w:sz w:val="26"/>
          <w:szCs w:val="26"/>
        </w:rPr>
        <w:t>г.п.Заполярный</w:t>
      </w:r>
      <w:proofErr w:type="spellEnd"/>
      <w:r w:rsidRPr="00226095">
        <w:rPr>
          <w:rFonts w:ascii="Times New Roman" w:hAnsi="Times New Roman"/>
          <w:sz w:val="26"/>
          <w:szCs w:val="26"/>
        </w:rPr>
        <w:t xml:space="preserve"> в консолидированный бюджет Мурманской области за период с 2014 по 2018 годы: с 1,6 % до 1,4 % с территории </w:t>
      </w:r>
      <w:proofErr w:type="spellStart"/>
      <w:r w:rsidRPr="00226095">
        <w:rPr>
          <w:rFonts w:ascii="Times New Roman" w:hAnsi="Times New Roman"/>
          <w:sz w:val="26"/>
          <w:szCs w:val="26"/>
        </w:rPr>
        <w:t>г.п.Никель</w:t>
      </w:r>
      <w:proofErr w:type="spellEnd"/>
      <w:r w:rsidRPr="00226095">
        <w:rPr>
          <w:rFonts w:ascii="Times New Roman" w:hAnsi="Times New Roman"/>
          <w:sz w:val="26"/>
          <w:szCs w:val="26"/>
        </w:rPr>
        <w:t xml:space="preserve">; с 2,2 % до 2,1 % с территории </w:t>
      </w:r>
      <w:proofErr w:type="spellStart"/>
      <w:r w:rsidRPr="00226095">
        <w:rPr>
          <w:rFonts w:ascii="Times New Roman" w:hAnsi="Times New Roman"/>
          <w:sz w:val="26"/>
          <w:szCs w:val="26"/>
        </w:rPr>
        <w:t>г.п.Заполярный</w:t>
      </w:r>
      <w:proofErr w:type="spellEnd"/>
      <w:r w:rsidRPr="00226095">
        <w:rPr>
          <w:rFonts w:ascii="Times New Roman" w:hAnsi="Times New Roman"/>
          <w:sz w:val="26"/>
          <w:szCs w:val="26"/>
        </w:rPr>
        <w:t>.</w:t>
      </w:r>
    </w:p>
    <w:p w:rsidR="00EB2C29" w:rsidRPr="00226095" w:rsidRDefault="00EB2C29" w:rsidP="00EB2C2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 xml:space="preserve">Поступление НДФЛ в бюджет </w:t>
      </w:r>
      <w:proofErr w:type="spellStart"/>
      <w:r w:rsidRPr="00226095">
        <w:rPr>
          <w:rFonts w:ascii="Times New Roman" w:hAnsi="Times New Roman"/>
          <w:sz w:val="26"/>
          <w:szCs w:val="26"/>
        </w:rPr>
        <w:t>г.п.Никель</w:t>
      </w:r>
      <w:proofErr w:type="spellEnd"/>
      <w:r w:rsidRPr="00226095">
        <w:rPr>
          <w:rFonts w:ascii="Times New Roman" w:hAnsi="Times New Roman"/>
          <w:sz w:val="26"/>
          <w:szCs w:val="26"/>
        </w:rPr>
        <w:t xml:space="preserve"> в основном обеспечено структурными подразделениями АО «Кольская ГМК» (от 30,9 % в 2014 году до 40,0 % в 2017 году) и организациями, находящимися в ведении Министерства обороны РФ (от 23,7 % в 2016 году до 25,8 % в 2014 году). При этом, доля поступлений в 2018 году по сравнению с 2014 годом по подразделениям АО «Кольская ГМК» увеличилась на 8,4 %, по организациям Министерства обороны РФ снизилась на 0,5 процента.</w:t>
      </w:r>
    </w:p>
    <w:p w:rsidR="00EB2C29" w:rsidRPr="00226095" w:rsidRDefault="00EB2C29" w:rsidP="00EB2C2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 xml:space="preserve">Поступление НДФЛ в бюджет </w:t>
      </w:r>
      <w:proofErr w:type="spellStart"/>
      <w:r w:rsidRPr="00226095">
        <w:rPr>
          <w:rFonts w:ascii="Times New Roman" w:hAnsi="Times New Roman"/>
          <w:sz w:val="26"/>
          <w:szCs w:val="26"/>
        </w:rPr>
        <w:t>г.п.Заполярный</w:t>
      </w:r>
      <w:proofErr w:type="spellEnd"/>
      <w:r w:rsidRPr="00226095">
        <w:rPr>
          <w:rFonts w:ascii="Times New Roman" w:hAnsi="Times New Roman"/>
          <w:sz w:val="26"/>
          <w:szCs w:val="26"/>
        </w:rPr>
        <w:t xml:space="preserve"> в большей мере обеспечено подразделениями АО «Кольская ГМК» (от 63,6 % в 2016 году до 65,8 % в 2017 году), доля поступлений в 2018 году по сравнению с 2014 годом по указанной группе снизилась на 1,5 процента</w:t>
      </w:r>
      <w:r w:rsidR="00182633">
        <w:rPr>
          <w:rFonts w:ascii="Times New Roman" w:hAnsi="Times New Roman"/>
          <w:sz w:val="26"/>
          <w:szCs w:val="26"/>
        </w:rPr>
        <w:t>.</w:t>
      </w:r>
    </w:p>
    <w:p w:rsidR="00EB2C29" w:rsidRPr="00226095" w:rsidRDefault="00EB2C29" w:rsidP="00EB2C2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 xml:space="preserve">Основная доля поступлений НДФЛ обеспечена налоговыми агентами, выплачивающими заработную плату и денежное довольствие, которая составила в рассматриваемом периоде от 99,7 % до 99,8 % в </w:t>
      </w:r>
      <w:proofErr w:type="spellStart"/>
      <w:r w:rsidRPr="00226095">
        <w:rPr>
          <w:rFonts w:ascii="Times New Roman" w:hAnsi="Times New Roman"/>
          <w:sz w:val="26"/>
          <w:szCs w:val="26"/>
        </w:rPr>
        <w:t>г.п.Никель</w:t>
      </w:r>
      <w:proofErr w:type="spellEnd"/>
      <w:r w:rsidRPr="00226095">
        <w:rPr>
          <w:rFonts w:ascii="Times New Roman" w:hAnsi="Times New Roman"/>
          <w:sz w:val="26"/>
          <w:szCs w:val="26"/>
        </w:rPr>
        <w:t xml:space="preserve"> и от 99,5 % до 99,9 % в </w:t>
      </w:r>
      <w:proofErr w:type="spellStart"/>
      <w:r w:rsidRPr="00226095">
        <w:rPr>
          <w:rFonts w:ascii="Times New Roman" w:hAnsi="Times New Roman"/>
          <w:sz w:val="26"/>
          <w:szCs w:val="26"/>
        </w:rPr>
        <w:t>г.п.Заполярный</w:t>
      </w:r>
      <w:proofErr w:type="spellEnd"/>
      <w:r w:rsidRPr="00226095">
        <w:rPr>
          <w:rFonts w:ascii="Times New Roman" w:hAnsi="Times New Roman"/>
          <w:sz w:val="26"/>
          <w:szCs w:val="26"/>
        </w:rPr>
        <w:t>. Доля поступлений НДФЛ, уплачиваемого индивидуальными предпринимателями, нотариусами и прочими категориями налогоплательщиков, незначительна и составляет менее 1 процента.</w:t>
      </w:r>
    </w:p>
    <w:p w:rsidR="00EB2C29" w:rsidRPr="00226095" w:rsidRDefault="00EB2C29" w:rsidP="00EB2C2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Рост поступлений по НДФЛ связан в первую очередь с ростом заработных плат работников (денежного довольствия сотрудников силовых ведомств), являющихся налоговой базой по налогу.</w:t>
      </w:r>
    </w:p>
    <w:p w:rsidR="00EB2C29" w:rsidRPr="00226095" w:rsidRDefault="00EB2C29" w:rsidP="00EB2C2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 xml:space="preserve">Сравнительный анализ изменения поступления доходов по НДФЛ в бюджеты </w:t>
      </w:r>
      <w:proofErr w:type="spellStart"/>
      <w:r w:rsidRPr="00226095">
        <w:rPr>
          <w:rFonts w:ascii="Times New Roman" w:hAnsi="Times New Roman"/>
          <w:sz w:val="26"/>
          <w:szCs w:val="26"/>
        </w:rPr>
        <w:t>г.п.Никель</w:t>
      </w:r>
      <w:proofErr w:type="spellEnd"/>
      <w:r w:rsidRPr="00226095">
        <w:rPr>
          <w:rFonts w:ascii="Times New Roman" w:hAnsi="Times New Roman"/>
          <w:sz w:val="26"/>
          <w:szCs w:val="26"/>
        </w:rPr>
        <w:t xml:space="preserve">, </w:t>
      </w:r>
      <w:proofErr w:type="spellStart"/>
      <w:r w:rsidRPr="00226095">
        <w:rPr>
          <w:rFonts w:ascii="Times New Roman" w:hAnsi="Times New Roman"/>
          <w:sz w:val="26"/>
          <w:szCs w:val="26"/>
        </w:rPr>
        <w:t>г.п.Заполярный</w:t>
      </w:r>
      <w:proofErr w:type="spellEnd"/>
      <w:r w:rsidRPr="00226095">
        <w:rPr>
          <w:rFonts w:ascii="Times New Roman" w:hAnsi="Times New Roman"/>
          <w:sz w:val="26"/>
          <w:szCs w:val="26"/>
        </w:rPr>
        <w:t xml:space="preserve"> и консолидированный бюджет Мурманской области с ростом индекса потребительских цен в Мурманской области (ИПЦ) показал следующее:</w:t>
      </w:r>
    </w:p>
    <w:p w:rsidR="00EB2C29" w:rsidRPr="00226095" w:rsidRDefault="00444319" w:rsidP="00EB2C2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EB2C29" w:rsidRPr="00226095">
        <w:rPr>
          <w:rFonts w:ascii="Times New Roman" w:hAnsi="Times New Roman"/>
          <w:sz w:val="26"/>
          <w:szCs w:val="26"/>
        </w:rPr>
        <w:t xml:space="preserve"> рост поступлений НДФЛ в консолидированный бюджет Мурманской области превысил ИПЦ в 2016, 2017 и 2018 годах, таким образом, наблюдается положительная динамика увеличения налоговой базы по налогу (рост заработной платы (денежного довольствия) в регионе);</w:t>
      </w:r>
    </w:p>
    <w:p w:rsidR="00EB2C29" w:rsidRPr="00226095" w:rsidRDefault="00444319" w:rsidP="00EB2C2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EB2C29" w:rsidRPr="00226095">
        <w:rPr>
          <w:rFonts w:ascii="Times New Roman" w:hAnsi="Times New Roman"/>
          <w:sz w:val="26"/>
          <w:szCs w:val="26"/>
        </w:rPr>
        <w:t xml:space="preserve"> рост поступлений НДФЛ в бюджет </w:t>
      </w:r>
      <w:proofErr w:type="spellStart"/>
      <w:r w:rsidR="00EB2C29" w:rsidRPr="00226095">
        <w:rPr>
          <w:rFonts w:ascii="Times New Roman" w:hAnsi="Times New Roman"/>
          <w:sz w:val="26"/>
          <w:szCs w:val="26"/>
        </w:rPr>
        <w:t>г.п.Никель</w:t>
      </w:r>
      <w:proofErr w:type="spellEnd"/>
      <w:r w:rsidR="00EB2C29" w:rsidRPr="00226095">
        <w:rPr>
          <w:rFonts w:ascii="Times New Roman" w:hAnsi="Times New Roman"/>
          <w:sz w:val="26"/>
          <w:szCs w:val="26"/>
        </w:rPr>
        <w:t xml:space="preserve"> ниже ИПЦ и ниже роста поступлений НДФЛ в консолидированный бюджет региона в 2014, 2015, 2017 и 2018 годах;</w:t>
      </w:r>
    </w:p>
    <w:p w:rsidR="00EB2C29" w:rsidRPr="00226095" w:rsidRDefault="00444319" w:rsidP="00EB2C2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EB2C29" w:rsidRPr="00226095">
        <w:rPr>
          <w:rFonts w:ascii="Times New Roman" w:hAnsi="Times New Roman"/>
          <w:sz w:val="26"/>
          <w:szCs w:val="26"/>
        </w:rPr>
        <w:t xml:space="preserve"> рост поступлений НДФЛ в бюджет </w:t>
      </w:r>
      <w:proofErr w:type="spellStart"/>
      <w:r w:rsidR="00EB2C29" w:rsidRPr="00226095">
        <w:rPr>
          <w:rFonts w:ascii="Times New Roman" w:hAnsi="Times New Roman"/>
          <w:sz w:val="26"/>
          <w:szCs w:val="26"/>
        </w:rPr>
        <w:t>г.п.Заполярный</w:t>
      </w:r>
      <w:proofErr w:type="spellEnd"/>
      <w:r w:rsidR="00EB2C29" w:rsidRPr="00226095">
        <w:rPr>
          <w:rFonts w:ascii="Times New Roman" w:hAnsi="Times New Roman"/>
          <w:sz w:val="26"/>
          <w:szCs w:val="26"/>
        </w:rPr>
        <w:t xml:space="preserve"> ниже ИПЦ в 2014, 2015 и 2018 годах и ниже роста поступлений НДФЛ в консолидированный бюджет Мурманской области в 2017 и 2018 годах.</w:t>
      </w:r>
    </w:p>
    <w:p w:rsidR="00EB2C29" w:rsidRPr="00226095" w:rsidRDefault="00EB2C29" w:rsidP="00EB2C29">
      <w:pPr>
        <w:widowControl w:val="0"/>
        <w:spacing w:after="0" w:line="240" w:lineRule="auto"/>
        <w:ind w:firstLine="709"/>
        <w:jc w:val="both"/>
        <w:rPr>
          <w:rFonts w:ascii="Times New Roman" w:hAnsi="Times New Roman"/>
          <w:sz w:val="26"/>
          <w:szCs w:val="26"/>
        </w:rPr>
      </w:pPr>
      <w:r w:rsidRPr="00226095">
        <w:rPr>
          <w:rFonts w:ascii="Times New Roman" w:hAnsi="Times New Roman"/>
          <w:sz w:val="26"/>
          <w:szCs w:val="26"/>
        </w:rPr>
        <w:t xml:space="preserve">Причинами неравномерности темпов роста НДФЛ на территориях </w:t>
      </w:r>
      <w:proofErr w:type="spellStart"/>
      <w:r w:rsidRPr="00226095">
        <w:rPr>
          <w:rFonts w:ascii="Times New Roman" w:hAnsi="Times New Roman"/>
          <w:sz w:val="26"/>
          <w:szCs w:val="26"/>
        </w:rPr>
        <w:t>г.п.Никель</w:t>
      </w:r>
      <w:proofErr w:type="spellEnd"/>
      <w:r w:rsidRPr="00226095">
        <w:rPr>
          <w:rFonts w:ascii="Times New Roman" w:hAnsi="Times New Roman"/>
          <w:sz w:val="26"/>
          <w:szCs w:val="26"/>
        </w:rPr>
        <w:t xml:space="preserve"> и </w:t>
      </w:r>
      <w:proofErr w:type="spellStart"/>
      <w:r w:rsidRPr="00226095">
        <w:rPr>
          <w:rFonts w:ascii="Times New Roman" w:hAnsi="Times New Roman"/>
          <w:sz w:val="26"/>
          <w:szCs w:val="26"/>
        </w:rPr>
        <w:t>г.п.Заполярный</w:t>
      </w:r>
      <w:proofErr w:type="spellEnd"/>
      <w:r w:rsidRPr="00226095">
        <w:rPr>
          <w:rFonts w:ascii="Times New Roman" w:hAnsi="Times New Roman"/>
          <w:sz w:val="26"/>
          <w:szCs w:val="26"/>
        </w:rPr>
        <w:t xml:space="preserve"> по сравнению с темпами роста НДФЛ в консолидированный бюджет Мурманской области являются следующие факторы:</w:t>
      </w:r>
    </w:p>
    <w:p w:rsidR="00EB2C29" w:rsidRPr="00226095" w:rsidRDefault="00444319" w:rsidP="00EB2C2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EB2C29" w:rsidRPr="00226095">
        <w:rPr>
          <w:rFonts w:ascii="Times New Roman" w:hAnsi="Times New Roman"/>
          <w:sz w:val="26"/>
          <w:szCs w:val="26"/>
        </w:rPr>
        <w:t xml:space="preserve"> тенденция сокращения населения городских поселений Никель и Заполярный;</w:t>
      </w:r>
    </w:p>
    <w:p w:rsidR="00EB2C29" w:rsidRPr="00226095" w:rsidRDefault="00444319" w:rsidP="00EB2C2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EB2C29" w:rsidRPr="00226095">
        <w:rPr>
          <w:rFonts w:ascii="Times New Roman" w:hAnsi="Times New Roman"/>
          <w:sz w:val="26"/>
          <w:szCs w:val="26"/>
        </w:rPr>
        <w:t xml:space="preserve"> возврат налога физическим лицам в связи с предоставлением налоговых вычетов (статьи 219 и 220 Налогового кодекса РФ);</w:t>
      </w:r>
    </w:p>
    <w:p w:rsidR="00EB2C29" w:rsidRPr="00226095" w:rsidRDefault="00444319" w:rsidP="00EB2C2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lastRenderedPageBreak/>
        <w:sym w:font="Symbol" w:char="F0B7"/>
      </w:r>
      <w:r w:rsidR="00EB2C29" w:rsidRPr="00226095">
        <w:rPr>
          <w:rFonts w:ascii="Times New Roman" w:hAnsi="Times New Roman"/>
          <w:sz w:val="26"/>
          <w:szCs w:val="26"/>
        </w:rPr>
        <w:t xml:space="preserve"> организационно-штатные мероприятия крупных налогоплательщиков;</w:t>
      </w:r>
    </w:p>
    <w:p w:rsidR="00EB2C29" w:rsidRPr="00226095" w:rsidRDefault="00444319" w:rsidP="00EB2C29">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EB2C29" w:rsidRPr="00226095">
        <w:rPr>
          <w:rFonts w:ascii="Times New Roman" w:hAnsi="Times New Roman"/>
          <w:sz w:val="26"/>
          <w:szCs w:val="26"/>
        </w:rPr>
        <w:t xml:space="preserve"> влияние фонда оплаты труда организаций, находящихся в ведении Министерства обороны РФ (актуально для </w:t>
      </w:r>
      <w:proofErr w:type="spellStart"/>
      <w:r w:rsidR="00EB2C29" w:rsidRPr="00226095">
        <w:rPr>
          <w:rFonts w:ascii="Times New Roman" w:hAnsi="Times New Roman"/>
          <w:sz w:val="26"/>
          <w:szCs w:val="26"/>
        </w:rPr>
        <w:t>г.п.Никель</w:t>
      </w:r>
      <w:proofErr w:type="spellEnd"/>
      <w:r w:rsidR="00EB2C29" w:rsidRPr="00226095">
        <w:rPr>
          <w:rFonts w:ascii="Times New Roman" w:hAnsi="Times New Roman"/>
          <w:sz w:val="26"/>
          <w:szCs w:val="26"/>
        </w:rPr>
        <w:t>).</w:t>
      </w:r>
    </w:p>
    <w:p w:rsidR="00EB2C29" w:rsidRPr="00D246E5" w:rsidRDefault="00EB2C29" w:rsidP="00EB2C29">
      <w:pPr>
        <w:tabs>
          <w:tab w:val="left" w:pos="284"/>
        </w:tabs>
        <w:suppressAutoHyphens/>
        <w:spacing w:after="0" w:line="240" w:lineRule="auto"/>
        <w:ind w:firstLine="709"/>
        <w:jc w:val="both"/>
        <w:rPr>
          <w:rFonts w:ascii="Times New Roman" w:hAnsi="Times New Roman"/>
          <w:sz w:val="16"/>
          <w:szCs w:val="16"/>
          <w:lang w:eastAsia="x-none"/>
        </w:rPr>
      </w:pPr>
    </w:p>
    <w:p w:rsidR="008E7DD5" w:rsidRDefault="00D63953" w:rsidP="00EB2C29">
      <w:pPr>
        <w:tabs>
          <w:tab w:val="left" w:pos="284"/>
        </w:tabs>
        <w:suppressAutoHyphens/>
        <w:spacing w:after="0" w:line="240" w:lineRule="auto"/>
        <w:ind w:firstLine="709"/>
        <w:jc w:val="both"/>
        <w:rPr>
          <w:rFonts w:ascii="Times New Roman" w:hAnsi="Times New Roman"/>
          <w:b/>
          <w:bCs/>
          <w:sz w:val="26"/>
          <w:szCs w:val="26"/>
          <w:lang w:eastAsia="x-none"/>
        </w:rPr>
      </w:pPr>
      <w:r>
        <w:rPr>
          <w:rFonts w:ascii="Times New Roman" w:hAnsi="Times New Roman"/>
          <w:b/>
          <w:color w:val="000000"/>
          <w:sz w:val="26"/>
          <w:szCs w:val="26"/>
          <w:lang w:eastAsia="x-none"/>
        </w:rPr>
        <w:t>4</w:t>
      </w:r>
      <w:r w:rsidR="002C49D3" w:rsidRPr="002C49D3">
        <w:rPr>
          <w:rFonts w:ascii="Times New Roman" w:hAnsi="Times New Roman"/>
          <w:b/>
          <w:color w:val="000000"/>
          <w:sz w:val="26"/>
          <w:szCs w:val="26"/>
          <w:lang w:eastAsia="x-none"/>
        </w:rPr>
        <w:t>.</w:t>
      </w:r>
      <w:r w:rsidR="00007497">
        <w:rPr>
          <w:rFonts w:ascii="Times New Roman" w:hAnsi="Times New Roman"/>
          <w:b/>
          <w:color w:val="000000"/>
          <w:sz w:val="26"/>
          <w:szCs w:val="26"/>
          <w:lang w:eastAsia="x-none"/>
        </w:rPr>
        <w:t>9</w:t>
      </w:r>
      <w:r w:rsidR="00895498">
        <w:rPr>
          <w:rFonts w:ascii="Times New Roman" w:hAnsi="Times New Roman"/>
          <w:b/>
          <w:color w:val="000000"/>
          <w:sz w:val="26"/>
          <w:szCs w:val="26"/>
          <w:lang w:eastAsia="x-none"/>
        </w:rPr>
        <w:t>.</w:t>
      </w:r>
      <w:r w:rsidR="00EB2C29" w:rsidRPr="002C49D3">
        <w:rPr>
          <w:rFonts w:ascii="Times New Roman" w:hAnsi="Times New Roman"/>
          <w:b/>
          <w:color w:val="000000"/>
          <w:sz w:val="26"/>
          <w:szCs w:val="26"/>
          <w:lang w:eastAsia="x-none"/>
        </w:rPr>
        <w:t>2.</w:t>
      </w:r>
      <w:r w:rsidR="00EB2C29" w:rsidRPr="00226095">
        <w:rPr>
          <w:rFonts w:ascii="Times New Roman" w:hAnsi="Times New Roman"/>
          <w:color w:val="000000"/>
          <w:sz w:val="26"/>
          <w:szCs w:val="26"/>
          <w:lang w:eastAsia="x-none"/>
        </w:rPr>
        <w:t xml:space="preserve"> </w:t>
      </w:r>
      <w:r w:rsidR="00EB2C29" w:rsidRPr="00226095">
        <w:rPr>
          <w:rFonts w:ascii="Times New Roman" w:hAnsi="Times New Roman"/>
          <w:b/>
          <w:bCs/>
          <w:sz w:val="26"/>
          <w:szCs w:val="26"/>
          <w:lang w:eastAsia="x-none"/>
        </w:rPr>
        <w:t>И</w:t>
      </w:r>
      <w:proofErr w:type="spellStart"/>
      <w:r w:rsidR="00EB2C29" w:rsidRPr="00226095">
        <w:rPr>
          <w:rFonts w:ascii="Times New Roman" w:hAnsi="Times New Roman"/>
          <w:b/>
          <w:bCs/>
          <w:sz w:val="26"/>
          <w:szCs w:val="26"/>
          <w:lang w:val="x-none" w:eastAsia="x-none"/>
        </w:rPr>
        <w:t>нформаци</w:t>
      </w:r>
      <w:r w:rsidR="008E7DD5">
        <w:rPr>
          <w:rFonts w:ascii="Times New Roman" w:hAnsi="Times New Roman"/>
          <w:b/>
          <w:bCs/>
          <w:sz w:val="26"/>
          <w:szCs w:val="26"/>
          <w:lang w:eastAsia="x-none"/>
        </w:rPr>
        <w:t>я</w:t>
      </w:r>
      <w:proofErr w:type="spellEnd"/>
      <w:r w:rsidR="00EB2C29" w:rsidRPr="00226095">
        <w:rPr>
          <w:rFonts w:ascii="Times New Roman" w:hAnsi="Times New Roman"/>
          <w:b/>
          <w:bCs/>
          <w:sz w:val="26"/>
          <w:szCs w:val="26"/>
          <w:lang w:val="x-none" w:eastAsia="x-none"/>
        </w:rPr>
        <w:t xml:space="preserve"> о влиянии отдельных показателей на формирование объема субвенции из бюджета Федерального фонда обязательного медицинского страхования, направляемой в бюджет Территориального фонда обязательного медицинского страхования  Мурманской области на финансовое обеспечение организации обязательного медицинского страхования на территории Мурманской области в 2019 году</w:t>
      </w:r>
    </w:p>
    <w:p w:rsidR="00EB2C29" w:rsidRPr="00226095" w:rsidRDefault="008E7DD5" w:rsidP="00EB2C29">
      <w:pPr>
        <w:tabs>
          <w:tab w:val="left" w:pos="284"/>
        </w:tabs>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t>П</w:t>
      </w:r>
      <w:r w:rsidR="00EB2C29" w:rsidRPr="00226095">
        <w:rPr>
          <w:rFonts w:ascii="Times New Roman" w:hAnsi="Times New Roman"/>
          <w:sz w:val="26"/>
          <w:szCs w:val="26"/>
          <w:lang w:eastAsia="x-none"/>
        </w:rPr>
        <w:t>роведен а</w:t>
      </w:r>
      <w:proofErr w:type="spellStart"/>
      <w:r w:rsidR="00EB2C29" w:rsidRPr="00226095">
        <w:rPr>
          <w:rFonts w:ascii="Times New Roman" w:hAnsi="Times New Roman"/>
          <w:sz w:val="26"/>
          <w:szCs w:val="26"/>
          <w:lang w:val="x-none" w:eastAsia="x-none"/>
        </w:rPr>
        <w:t>нализ</w:t>
      </w:r>
      <w:proofErr w:type="spellEnd"/>
      <w:r w:rsidR="00EB2C29" w:rsidRPr="00226095">
        <w:rPr>
          <w:rFonts w:ascii="Times New Roman" w:hAnsi="Times New Roman"/>
          <w:sz w:val="26"/>
          <w:szCs w:val="26"/>
          <w:lang w:val="x-none" w:eastAsia="x-none"/>
        </w:rPr>
        <w:t xml:space="preserve"> нормативных правовых актов, </w:t>
      </w:r>
      <w:r w:rsidR="00EB2C29" w:rsidRPr="00226095">
        <w:rPr>
          <w:rFonts w:ascii="Times New Roman" w:hAnsi="Times New Roman"/>
          <w:sz w:val="26"/>
          <w:szCs w:val="26"/>
          <w:lang w:eastAsia="x-none"/>
        </w:rPr>
        <w:t xml:space="preserve">регулирующих формирование объема субвенции, предоставляемой из бюджета ФФОМС </w:t>
      </w:r>
      <w:r w:rsidR="00EB2C29" w:rsidRPr="00226095">
        <w:rPr>
          <w:rFonts w:ascii="Times New Roman" w:hAnsi="Times New Roman"/>
          <w:sz w:val="26"/>
          <w:szCs w:val="26"/>
          <w:lang w:val="x-none" w:eastAsia="x-none"/>
        </w:rPr>
        <w:t>для финансового обеспечения организации обязательного медицинского страхования на территории Мурманской области</w:t>
      </w:r>
      <w:r w:rsidR="00EB2C29" w:rsidRPr="00226095">
        <w:rPr>
          <w:rFonts w:ascii="Times New Roman" w:hAnsi="Times New Roman"/>
          <w:sz w:val="26"/>
          <w:szCs w:val="26"/>
          <w:lang w:eastAsia="x-none"/>
        </w:rPr>
        <w:t>, а также показателей применяемых в расчете объема субвенции, установлено следующее</w:t>
      </w:r>
      <w:r w:rsidR="00F554D5">
        <w:rPr>
          <w:rFonts w:ascii="Times New Roman" w:hAnsi="Times New Roman"/>
          <w:sz w:val="26"/>
          <w:szCs w:val="26"/>
          <w:lang w:eastAsia="x-none"/>
        </w:rPr>
        <w:t>:</w:t>
      </w:r>
    </w:p>
    <w:p w:rsidR="00EB2C29" w:rsidRPr="00226095" w:rsidRDefault="00F554D5" w:rsidP="00EB2C29">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sidR="00EB2C29" w:rsidRPr="00226095">
        <w:rPr>
          <w:rFonts w:ascii="Times New Roman" w:hAnsi="Times New Roman"/>
          <w:sz w:val="26"/>
          <w:szCs w:val="26"/>
          <w:lang w:eastAsia="x-none"/>
        </w:rPr>
        <w:t xml:space="preserve"> п</w:t>
      </w:r>
      <w:proofErr w:type="spellStart"/>
      <w:r w:rsidR="00EB2C29" w:rsidRPr="00226095">
        <w:rPr>
          <w:rFonts w:ascii="Times New Roman" w:hAnsi="Times New Roman"/>
          <w:sz w:val="26"/>
          <w:szCs w:val="26"/>
          <w:lang w:val="x-none" w:eastAsia="x-none"/>
        </w:rPr>
        <w:t>рименение</w:t>
      </w:r>
      <w:proofErr w:type="spellEnd"/>
      <w:r w:rsidR="00EB2C29" w:rsidRPr="00226095">
        <w:rPr>
          <w:rFonts w:ascii="Times New Roman" w:hAnsi="Times New Roman"/>
          <w:sz w:val="26"/>
          <w:szCs w:val="26"/>
          <w:lang w:val="x-none" w:eastAsia="x-none"/>
        </w:rPr>
        <w:t xml:space="preserve"> в Методике распределения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22.11.2004 № 670 «О распределении дотаций на выравнивание бюджетной обеспеченности субъектов Российской Федерации» </w:t>
      </w:r>
      <w:r w:rsidR="00EB2C29" w:rsidRPr="00226095">
        <w:rPr>
          <w:rFonts w:ascii="Times New Roman" w:hAnsi="Times New Roman"/>
          <w:sz w:val="26"/>
          <w:szCs w:val="26"/>
          <w:lang w:eastAsia="x-none"/>
        </w:rPr>
        <w:t xml:space="preserve">(далее – Методика распределения дотаций) </w:t>
      </w:r>
      <w:r w:rsidR="00EB2C29" w:rsidRPr="00226095">
        <w:rPr>
          <w:rFonts w:ascii="Times New Roman" w:hAnsi="Times New Roman"/>
          <w:sz w:val="26"/>
          <w:szCs w:val="26"/>
          <w:lang w:val="x-none" w:eastAsia="x-none"/>
        </w:rPr>
        <w:t>некорректных показателей, в том числе показателя «стоимость жилищно-коммунальных услуг в месяц в субъекте Российской Федерации с учетом установленного субъектом Российской Федерации минимального размера взноса на капитальный ремонт общего имущества в многоквартирном доме», привели к фактическому занижению размера субвенции из бюджета ФФОМС в бюджет ТФОМС Мурманской области, в минимальной сумме на 17 721,6 тыс. рублей;</w:t>
      </w:r>
    </w:p>
    <w:p w:rsidR="00EB2C29" w:rsidRPr="00226095" w:rsidRDefault="00F554D5" w:rsidP="00EB2C29">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00EB2C29" w:rsidRPr="00226095">
        <w:rPr>
          <w:rFonts w:ascii="Times New Roman" w:hAnsi="Times New Roman"/>
          <w:sz w:val="26"/>
          <w:szCs w:val="26"/>
          <w:lang w:val="x-none" w:eastAsia="x-none"/>
        </w:rPr>
        <w:t xml:space="preserve"> расчет отдельных показателей, применяемых в Методике распределения дотаций, является не достаточно прозрачным. Так, например, по показателю «стоимость фиксированного набора товаров и услуг в регионе» в Методике распределения дотаций не указан отчетный период (дата) формирования исходных данных для расчета данного показателя;</w:t>
      </w:r>
    </w:p>
    <w:p w:rsidR="00EB2C29" w:rsidRDefault="00F554D5" w:rsidP="00EB2C29">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00EB2C29" w:rsidRPr="00226095">
        <w:rPr>
          <w:rFonts w:ascii="Times New Roman" w:hAnsi="Times New Roman"/>
          <w:sz w:val="26"/>
          <w:szCs w:val="26"/>
          <w:lang w:eastAsia="x-none"/>
        </w:rPr>
        <w:t xml:space="preserve"> </w:t>
      </w:r>
      <w:r w:rsidR="00EB2C29" w:rsidRPr="00226095">
        <w:rPr>
          <w:rFonts w:ascii="Times New Roman" w:hAnsi="Times New Roman"/>
          <w:sz w:val="26"/>
          <w:szCs w:val="26"/>
          <w:lang w:val="x-none" w:eastAsia="x-none"/>
        </w:rPr>
        <w:t>на окончательное значение коэффициента ценовой дифференциации бюджетных услуг</w:t>
      </w:r>
      <w:r w:rsidR="00EB2C29" w:rsidRPr="00226095">
        <w:rPr>
          <w:rFonts w:ascii="Times New Roman" w:hAnsi="Times New Roman"/>
          <w:sz w:val="26"/>
          <w:szCs w:val="26"/>
          <w:lang w:eastAsia="x-none"/>
        </w:rPr>
        <w:t xml:space="preserve">, применяемого при формировании объема субвенции, </w:t>
      </w:r>
      <w:r w:rsidR="00EB2C29" w:rsidRPr="00226095">
        <w:rPr>
          <w:rFonts w:ascii="Times New Roman" w:hAnsi="Times New Roman"/>
          <w:sz w:val="26"/>
          <w:szCs w:val="26"/>
          <w:lang w:val="x-none" w:eastAsia="x-none"/>
        </w:rPr>
        <w:t>коэффициент уровня цен в регионе имеет большее влияние</w:t>
      </w:r>
      <w:r w:rsidR="00EB2C29" w:rsidRPr="00226095">
        <w:rPr>
          <w:rFonts w:ascii="Times New Roman" w:hAnsi="Times New Roman"/>
          <w:sz w:val="26"/>
          <w:szCs w:val="26"/>
          <w:lang w:eastAsia="x-none"/>
        </w:rPr>
        <w:t xml:space="preserve"> </w:t>
      </w:r>
      <w:r w:rsidR="00EB2C29" w:rsidRPr="00226095">
        <w:rPr>
          <w:rFonts w:ascii="Times New Roman" w:hAnsi="Times New Roman"/>
          <w:sz w:val="26"/>
          <w:szCs w:val="26"/>
          <w:lang w:val="x-none" w:eastAsia="x-none"/>
        </w:rPr>
        <w:t>(вес – 78,0</w:t>
      </w:r>
      <w:r w:rsidR="00EB2C29" w:rsidRPr="00226095">
        <w:rPr>
          <w:rFonts w:ascii="Times New Roman" w:hAnsi="Times New Roman"/>
          <w:sz w:val="26"/>
          <w:szCs w:val="26"/>
          <w:lang w:eastAsia="x-none"/>
        </w:rPr>
        <w:t xml:space="preserve"> </w:t>
      </w:r>
      <w:r w:rsidR="00EB2C29" w:rsidRPr="00226095">
        <w:rPr>
          <w:rFonts w:ascii="Times New Roman" w:hAnsi="Times New Roman"/>
          <w:sz w:val="26"/>
          <w:szCs w:val="26"/>
          <w:lang w:val="x-none" w:eastAsia="x-none"/>
        </w:rPr>
        <w:t>%), чем коэффициент стоимости жилищно-коммунальных услуг (вес – 22,0</w:t>
      </w:r>
      <w:r w:rsidR="00EB2C29" w:rsidRPr="00226095">
        <w:rPr>
          <w:rFonts w:ascii="Times New Roman" w:hAnsi="Times New Roman"/>
          <w:sz w:val="26"/>
          <w:szCs w:val="26"/>
          <w:lang w:eastAsia="x-none"/>
        </w:rPr>
        <w:t xml:space="preserve"> </w:t>
      </w:r>
      <w:r w:rsidR="00EB2C29" w:rsidRPr="00226095">
        <w:rPr>
          <w:rFonts w:ascii="Times New Roman" w:hAnsi="Times New Roman"/>
          <w:sz w:val="26"/>
          <w:szCs w:val="26"/>
          <w:lang w:val="x-none" w:eastAsia="x-none"/>
        </w:rPr>
        <w:t>%).</w:t>
      </w:r>
    </w:p>
    <w:p w:rsidR="00D246E5" w:rsidRPr="00D246E5" w:rsidRDefault="00D246E5" w:rsidP="00EB2C29">
      <w:pPr>
        <w:tabs>
          <w:tab w:val="left" w:pos="284"/>
        </w:tabs>
        <w:suppressAutoHyphens/>
        <w:spacing w:after="0" w:line="240" w:lineRule="auto"/>
        <w:ind w:firstLine="709"/>
        <w:jc w:val="both"/>
        <w:rPr>
          <w:rFonts w:ascii="Times New Roman" w:hAnsi="Times New Roman"/>
          <w:sz w:val="16"/>
          <w:szCs w:val="16"/>
          <w:lang w:val="x-none" w:eastAsia="x-none"/>
        </w:rPr>
      </w:pPr>
    </w:p>
    <w:p w:rsidR="00EB2C29" w:rsidRDefault="00EB2C29" w:rsidP="006244EB">
      <w:pPr>
        <w:tabs>
          <w:tab w:val="left" w:pos="284"/>
        </w:tabs>
        <w:suppressAutoHyphens/>
        <w:spacing w:after="0" w:line="240" w:lineRule="auto"/>
        <w:ind w:firstLine="709"/>
        <w:jc w:val="both"/>
        <w:rPr>
          <w:rFonts w:ascii="Times New Roman" w:hAnsi="Times New Roman"/>
          <w:sz w:val="26"/>
          <w:szCs w:val="26"/>
          <w:lang w:eastAsia="x-none"/>
        </w:rPr>
      </w:pPr>
    </w:p>
    <w:p w:rsidR="0039530B" w:rsidRPr="006244EB" w:rsidRDefault="0091024C" w:rsidP="006244EB">
      <w:pPr>
        <w:spacing w:after="0" w:line="240" w:lineRule="auto"/>
        <w:ind w:firstLine="709"/>
        <w:jc w:val="center"/>
        <w:rPr>
          <w:rFonts w:ascii="Times New Roman" w:hAnsi="Times New Roman"/>
          <w:b/>
          <w:sz w:val="28"/>
          <w:szCs w:val="28"/>
        </w:rPr>
      </w:pPr>
      <w:r w:rsidRPr="006244EB">
        <w:rPr>
          <w:rFonts w:ascii="Times New Roman" w:hAnsi="Times New Roman"/>
          <w:b/>
          <w:sz w:val="28"/>
          <w:szCs w:val="28"/>
          <w:lang w:val="en-US"/>
        </w:rPr>
        <w:t>I</w:t>
      </w:r>
      <w:r w:rsidR="000C0E65">
        <w:rPr>
          <w:rFonts w:ascii="Times New Roman" w:hAnsi="Times New Roman"/>
          <w:b/>
          <w:sz w:val="28"/>
          <w:szCs w:val="28"/>
          <w:lang w:val="en-US"/>
        </w:rPr>
        <w:t>V</w:t>
      </w:r>
      <w:r w:rsidR="00751B4A" w:rsidRPr="006244EB">
        <w:rPr>
          <w:rFonts w:ascii="Times New Roman" w:hAnsi="Times New Roman"/>
          <w:b/>
          <w:sz w:val="28"/>
          <w:szCs w:val="28"/>
        </w:rPr>
        <w:t xml:space="preserve">. </w:t>
      </w:r>
      <w:r w:rsidR="00CF30FC" w:rsidRPr="006244EB">
        <w:rPr>
          <w:rFonts w:ascii="Times New Roman" w:hAnsi="Times New Roman"/>
          <w:b/>
          <w:sz w:val="28"/>
          <w:szCs w:val="28"/>
        </w:rPr>
        <w:t>И</w:t>
      </w:r>
      <w:r w:rsidR="0039530B" w:rsidRPr="006244EB">
        <w:rPr>
          <w:rFonts w:ascii="Times New Roman" w:hAnsi="Times New Roman"/>
          <w:b/>
          <w:sz w:val="28"/>
          <w:szCs w:val="28"/>
        </w:rPr>
        <w:t>тоги контрольной деятельности</w:t>
      </w:r>
    </w:p>
    <w:p w:rsidR="008B6853" w:rsidRPr="007E6061" w:rsidRDefault="008B6853" w:rsidP="008B6853">
      <w:pPr>
        <w:spacing w:after="0" w:line="240" w:lineRule="auto"/>
        <w:ind w:firstLine="709"/>
        <w:jc w:val="center"/>
        <w:rPr>
          <w:rFonts w:ascii="Times New Roman" w:hAnsi="Times New Roman"/>
          <w:sz w:val="16"/>
          <w:szCs w:val="16"/>
        </w:rPr>
      </w:pPr>
      <w:bookmarkStart w:id="0" w:name="_Toc2011212"/>
      <w:bookmarkStart w:id="1" w:name="_Toc2090531"/>
      <w:bookmarkStart w:id="2" w:name="_Toc2090341"/>
    </w:p>
    <w:p w:rsidR="008B6853" w:rsidRPr="001C3D61" w:rsidRDefault="008B6853" w:rsidP="001C3D61">
      <w:pPr>
        <w:pStyle w:val="a7"/>
        <w:numPr>
          <w:ilvl w:val="0"/>
          <w:numId w:val="38"/>
        </w:numPr>
        <w:spacing w:after="0" w:line="240" w:lineRule="auto"/>
        <w:jc w:val="center"/>
        <w:rPr>
          <w:rFonts w:ascii="Times New Roman" w:hAnsi="Times New Roman"/>
          <w:b/>
          <w:sz w:val="26"/>
          <w:szCs w:val="26"/>
        </w:rPr>
      </w:pPr>
      <w:r w:rsidRPr="001C3D61">
        <w:rPr>
          <w:rFonts w:ascii="Times New Roman" w:hAnsi="Times New Roman"/>
          <w:b/>
          <w:sz w:val="26"/>
          <w:szCs w:val="26"/>
        </w:rPr>
        <w:t>Основные итоги проверок деятельности главных администраторов доходов областного бюджета по обеспечению поступлений в областной бюджет неналоговых доходов</w:t>
      </w:r>
    </w:p>
    <w:p w:rsidR="001C3D61" w:rsidRPr="001C3D61" w:rsidRDefault="001C3D61" w:rsidP="001C3D61">
      <w:pPr>
        <w:pStyle w:val="a7"/>
        <w:spacing w:after="0" w:line="240" w:lineRule="auto"/>
        <w:ind w:left="1069"/>
        <w:rPr>
          <w:rFonts w:ascii="Times New Roman" w:hAnsi="Times New Roman"/>
          <w:b/>
          <w:sz w:val="12"/>
          <w:szCs w:val="12"/>
        </w:rPr>
      </w:pPr>
    </w:p>
    <w:p w:rsidR="008B6853" w:rsidRPr="008B6853" w:rsidRDefault="008B6853" w:rsidP="008B6853">
      <w:pPr>
        <w:tabs>
          <w:tab w:val="left" w:pos="284"/>
        </w:tabs>
        <w:suppressAutoHyphens/>
        <w:spacing w:after="0" w:line="240" w:lineRule="auto"/>
        <w:ind w:firstLine="709"/>
        <w:jc w:val="both"/>
        <w:rPr>
          <w:rFonts w:ascii="Times New Roman" w:hAnsi="Times New Roman"/>
          <w:sz w:val="26"/>
          <w:szCs w:val="26"/>
        </w:rPr>
      </w:pPr>
      <w:r w:rsidRPr="008B6853">
        <w:rPr>
          <w:rFonts w:ascii="Times New Roman" w:hAnsi="Times New Roman"/>
          <w:sz w:val="26"/>
          <w:szCs w:val="26"/>
        </w:rPr>
        <w:t xml:space="preserve">По результатам контрольного мероприятия </w:t>
      </w:r>
      <w:r w:rsidRPr="008B6853">
        <w:rPr>
          <w:rFonts w:ascii="Times New Roman" w:hAnsi="Times New Roman"/>
          <w:b/>
          <w:sz w:val="26"/>
          <w:szCs w:val="26"/>
        </w:rPr>
        <w:t xml:space="preserve">«Проверка Министерства природных ресурсов и экологии Мурманской области, как уполномоченного органа государственной власти на осуществление бюджетных полномочий главного администратора доходов областного бюджета, по обеспечению поступления в областной бюджет неналоговых доходов за 2017 и 2018 годы, а также по выполнению им предложений Контрольно-счетной палаты Мурманской области, направленных по результатам экспертно-аналитического мероприятия </w:t>
      </w:r>
      <w:r w:rsidRPr="008B6853">
        <w:rPr>
          <w:rFonts w:ascii="Times New Roman" w:hAnsi="Times New Roman"/>
          <w:b/>
          <w:sz w:val="26"/>
          <w:szCs w:val="26"/>
        </w:rPr>
        <w:lastRenderedPageBreak/>
        <w:t>«Анализ деятельности главных администраторов доходов областного бюджета по обеспечению поступлений в областной бюджет неналоговых доходов за 2015, 2016 годы (на примере отдельных администраторов доходов)»</w:t>
      </w:r>
      <w:r w:rsidRPr="008B6853">
        <w:rPr>
          <w:rFonts w:ascii="Times New Roman" w:hAnsi="Times New Roman"/>
          <w:sz w:val="26"/>
          <w:szCs w:val="26"/>
        </w:rPr>
        <w:t xml:space="preserve"> установлено следующее.</w:t>
      </w:r>
    </w:p>
    <w:p w:rsidR="008B6853" w:rsidRPr="008B6853" w:rsidRDefault="008B6853" w:rsidP="008B6853">
      <w:pPr>
        <w:widowControl w:val="0"/>
        <w:spacing w:after="0" w:line="240" w:lineRule="auto"/>
        <w:ind w:firstLine="709"/>
        <w:jc w:val="both"/>
        <w:rPr>
          <w:rFonts w:ascii="Times New Roman" w:hAnsi="Times New Roman"/>
          <w:sz w:val="26"/>
          <w:szCs w:val="26"/>
        </w:rPr>
      </w:pPr>
      <w:r w:rsidRPr="008B6853">
        <w:rPr>
          <w:rFonts w:ascii="Times New Roman" w:hAnsi="Times New Roman"/>
          <w:sz w:val="26"/>
          <w:szCs w:val="26"/>
        </w:rPr>
        <w:t>Министерством природных ресурсов и экологии Мурманской области сформирована достаточная нормативная правовая база администрирования и прогнозирования неналоговых доходов областного бюджета, которая соответствует положениям бюджетного законодательства Российской Федерации и нормативным правовым актам Мурманской области.</w:t>
      </w:r>
    </w:p>
    <w:p w:rsidR="008B6853" w:rsidRPr="008B6853" w:rsidRDefault="008B6853" w:rsidP="008B6853">
      <w:pPr>
        <w:widowControl w:val="0"/>
        <w:spacing w:after="0" w:line="240" w:lineRule="auto"/>
        <w:ind w:firstLine="709"/>
        <w:jc w:val="both"/>
        <w:rPr>
          <w:rFonts w:ascii="Times New Roman" w:hAnsi="Times New Roman"/>
          <w:sz w:val="26"/>
          <w:szCs w:val="26"/>
        </w:rPr>
      </w:pPr>
      <w:r w:rsidRPr="008B6853">
        <w:rPr>
          <w:rFonts w:ascii="Times New Roman" w:hAnsi="Times New Roman"/>
          <w:sz w:val="26"/>
          <w:szCs w:val="26"/>
        </w:rPr>
        <w:t>В проверяемом периоде министерством администрировались 17 неналоговых доходов, поступление которых в 2017 году составило 34 545,2 тыс. рублей</w:t>
      </w:r>
      <w:r w:rsidR="000E0B86">
        <w:rPr>
          <w:rFonts w:ascii="Times New Roman" w:hAnsi="Times New Roman"/>
          <w:sz w:val="26"/>
          <w:szCs w:val="26"/>
        </w:rPr>
        <w:t>,</w:t>
      </w:r>
      <w:r w:rsidRPr="008B6853">
        <w:rPr>
          <w:rFonts w:ascii="Times New Roman" w:hAnsi="Times New Roman"/>
          <w:sz w:val="26"/>
          <w:szCs w:val="26"/>
        </w:rPr>
        <w:t xml:space="preserve"> или </w:t>
      </w:r>
      <w:r w:rsidR="000E0B86">
        <w:rPr>
          <w:rFonts w:ascii="Times New Roman" w:hAnsi="Times New Roman"/>
          <w:sz w:val="26"/>
          <w:szCs w:val="26"/>
        </w:rPr>
        <w:t xml:space="preserve"> </w:t>
      </w:r>
      <w:r w:rsidR="001C3D61">
        <w:rPr>
          <w:rFonts w:ascii="Times New Roman" w:hAnsi="Times New Roman"/>
          <w:sz w:val="26"/>
          <w:szCs w:val="26"/>
        </w:rPr>
        <w:t xml:space="preserve">      </w:t>
      </w:r>
      <w:r w:rsidRPr="008B6853">
        <w:rPr>
          <w:rFonts w:ascii="Times New Roman" w:hAnsi="Times New Roman"/>
          <w:sz w:val="26"/>
          <w:szCs w:val="26"/>
        </w:rPr>
        <w:t>108,2 % от утвержденных назначений, в 2018 году – 26 514,6 тыс. рублей</w:t>
      </w:r>
      <w:r w:rsidR="000E0B86">
        <w:rPr>
          <w:rFonts w:ascii="Times New Roman" w:hAnsi="Times New Roman"/>
          <w:sz w:val="26"/>
          <w:szCs w:val="26"/>
        </w:rPr>
        <w:t>,</w:t>
      </w:r>
      <w:r w:rsidRPr="008B6853">
        <w:rPr>
          <w:rFonts w:ascii="Times New Roman" w:hAnsi="Times New Roman"/>
          <w:sz w:val="26"/>
          <w:szCs w:val="26"/>
        </w:rPr>
        <w:t xml:space="preserve"> или 107,2 % от утвержденных назначений. Наибольший удельный вес в структуре неналоговых доходов занимает плата за использование лесов, расположенных на землях лесного фонда, в части, превышающей минимальный размер арендной платы, объем поступлений которой от общей суммы неналоговых доходов в 2017 и 2018 годах составил 47,6 % и 74,8 % соответственно.</w:t>
      </w:r>
    </w:p>
    <w:p w:rsidR="008B6853" w:rsidRPr="008B6853" w:rsidRDefault="008B6853" w:rsidP="008B6853">
      <w:pPr>
        <w:widowControl w:val="0"/>
        <w:spacing w:after="0" w:line="240" w:lineRule="auto"/>
        <w:ind w:firstLine="709"/>
        <w:jc w:val="both"/>
        <w:rPr>
          <w:rFonts w:ascii="Times New Roman" w:hAnsi="Times New Roman"/>
          <w:sz w:val="26"/>
          <w:szCs w:val="26"/>
        </w:rPr>
      </w:pPr>
      <w:r w:rsidRPr="008B6853">
        <w:rPr>
          <w:rFonts w:ascii="Times New Roman" w:hAnsi="Times New Roman"/>
          <w:sz w:val="26"/>
          <w:szCs w:val="26"/>
        </w:rPr>
        <w:t>По результатам настоящего контрольного мероприятия установлены нарушения и недостатки при организации Министерством природных ресурсов и экологии Мурманской области работы по обеспечению поступлений неналоговых доходов в областной бюджет, из них:</w:t>
      </w:r>
    </w:p>
    <w:p w:rsidR="008B6853" w:rsidRPr="008B6853" w:rsidRDefault="000E0B86"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8B6853" w:rsidRPr="008B6853">
        <w:rPr>
          <w:rFonts w:ascii="Times New Roman" w:hAnsi="Times New Roman"/>
          <w:sz w:val="26"/>
          <w:szCs w:val="26"/>
        </w:rPr>
        <w:t xml:space="preserve"> </w:t>
      </w:r>
      <w:r>
        <w:rPr>
          <w:rFonts w:ascii="Times New Roman" w:hAnsi="Times New Roman"/>
          <w:sz w:val="26"/>
          <w:szCs w:val="26"/>
        </w:rPr>
        <w:t>п</w:t>
      </w:r>
      <w:r w:rsidR="008B6853" w:rsidRPr="008B6853">
        <w:rPr>
          <w:rFonts w:ascii="Times New Roman" w:hAnsi="Times New Roman"/>
          <w:sz w:val="26"/>
          <w:szCs w:val="26"/>
        </w:rPr>
        <w:t>орядок администрирования министерством доходов, зачисляемых в бюджеты бюджетной системы Российской Федерации, утвержденный приказом министерства от 30.03.2018 № 139 не приведен в соответствие со структурой министерства, утвержденной приказом министерства от 13.04.2018 № 158 «О проведении организационно-штатных мероприятий», в соответствии с которым упразднено структурное подразделение, ответственное за начисление неналогового дохода</w:t>
      </w:r>
      <w:r>
        <w:rPr>
          <w:rFonts w:ascii="Times New Roman" w:hAnsi="Times New Roman"/>
          <w:sz w:val="26"/>
          <w:szCs w:val="26"/>
        </w:rPr>
        <w:t>;</w:t>
      </w:r>
    </w:p>
    <w:p w:rsidR="008B6853" w:rsidRPr="008B6853" w:rsidRDefault="000E0B86"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8B6853" w:rsidRPr="008B6853">
        <w:rPr>
          <w:rFonts w:ascii="Times New Roman" w:hAnsi="Times New Roman"/>
          <w:sz w:val="26"/>
          <w:szCs w:val="26"/>
        </w:rPr>
        <w:t xml:space="preserve"> Министерством не производился пересмотр арендной платы по 21 договору аренды лесных участков, предоставленных для иных видов использования лесов, при этом условиями договоров предусмотрен такой пересмотр. Расчетная сумма не поступивших доходов в результате не проведения индексации (пересмотра) арендной платы составила 217,3 тыс. рублей, из нее в 2017 году – 60,9 тыс. рублей, в 2018 году – 156,4 тыс. рублей</w:t>
      </w:r>
      <w:r>
        <w:rPr>
          <w:rFonts w:ascii="Times New Roman" w:hAnsi="Times New Roman"/>
          <w:sz w:val="26"/>
          <w:szCs w:val="26"/>
        </w:rPr>
        <w:t>;</w:t>
      </w:r>
    </w:p>
    <w:p w:rsidR="008B6853" w:rsidRPr="008B6853" w:rsidRDefault="000E0B86"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8B6853" w:rsidRPr="008B6853">
        <w:rPr>
          <w:rFonts w:ascii="Times New Roman" w:hAnsi="Times New Roman"/>
          <w:sz w:val="26"/>
          <w:szCs w:val="26"/>
        </w:rPr>
        <w:t xml:space="preserve"> Министерством нарушены требования пункта 1 статьи 10 Федерального закона от 6 декабря 2011 года № 402-ФЗ «О бухгалтерском учете» и пункта 197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(утверждена приказом Министерства финансов Российской Федерации от 01.12.2010 № 157н) в части несвоевременной регистрации и накопления в регистрах бухгалтерского учета данных, содержащихся в первичных учетных документах</w:t>
      </w:r>
      <w:r>
        <w:rPr>
          <w:rFonts w:ascii="Times New Roman" w:hAnsi="Times New Roman"/>
          <w:sz w:val="26"/>
          <w:szCs w:val="26"/>
        </w:rPr>
        <w:t>;</w:t>
      </w:r>
    </w:p>
    <w:p w:rsidR="008B6853" w:rsidRPr="008B6853" w:rsidRDefault="000E0B86"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8B6853" w:rsidRPr="008B6853">
        <w:rPr>
          <w:rFonts w:ascii="Times New Roman" w:hAnsi="Times New Roman"/>
          <w:sz w:val="26"/>
          <w:szCs w:val="26"/>
        </w:rPr>
        <w:t xml:space="preserve"> </w:t>
      </w:r>
      <w:r>
        <w:rPr>
          <w:rFonts w:ascii="Times New Roman" w:hAnsi="Times New Roman"/>
          <w:sz w:val="26"/>
          <w:szCs w:val="26"/>
        </w:rPr>
        <w:t>в</w:t>
      </w:r>
      <w:r w:rsidR="008B6853" w:rsidRPr="008B6853">
        <w:rPr>
          <w:rFonts w:ascii="Times New Roman" w:hAnsi="Times New Roman"/>
          <w:sz w:val="26"/>
          <w:szCs w:val="26"/>
        </w:rPr>
        <w:t xml:space="preserve"> нарушение требований пункта 2 статьи 160.1 Бюджетного кодекса РФ, пункта 2 приказов министерства о наделении полномочиями администратора доходов от 28.12.2016 № 528 и от 29.12.2017 № 591, министерством не исполнены бюджетные полномочия администратора доходов по взысканию задолженности за нарушение водного законодательства с ГУ ЖКХ АО Водоканал в областной бюджет на сумму 2 483,9 тыс. рублей</w:t>
      </w:r>
      <w:r>
        <w:rPr>
          <w:rFonts w:ascii="Times New Roman" w:hAnsi="Times New Roman"/>
          <w:sz w:val="26"/>
          <w:szCs w:val="26"/>
        </w:rPr>
        <w:t>;</w:t>
      </w:r>
    </w:p>
    <w:p w:rsidR="008B6853" w:rsidRPr="008B6853" w:rsidRDefault="000E0B86"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в</w:t>
      </w:r>
      <w:r w:rsidR="008B6853" w:rsidRPr="008B6853">
        <w:rPr>
          <w:rFonts w:ascii="Times New Roman" w:hAnsi="Times New Roman"/>
          <w:sz w:val="26"/>
          <w:szCs w:val="26"/>
        </w:rPr>
        <w:t xml:space="preserve"> результате сверки сведений, содержащихся в Государственной </w:t>
      </w:r>
      <w:r w:rsidR="008B6853" w:rsidRPr="008B6853">
        <w:rPr>
          <w:rFonts w:ascii="Times New Roman" w:hAnsi="Times New Roman"/>
          <w:sz w:val="26"/>
          <w:szCs w:val="26"/>
        </w:rPr>
        <w:lastRenderedPageBreak/>
        <w:t xml:space="preserve">информационной системе о государственных и муниципальных платежах (далее – ГИС ГМП) и </w:t>
      </w:r>
      <w:proofErr w:type="spellStart"/>
      <w:r w:rsidR="008B6853" w:rsidRPr="008B6853">
        <w:rPr>
          <w:rFonts w:ascii="Times New Roman" w:hAnsi="Times New Roman"/>
          <w:sz w:val="26"/>
          <w:szCs w:val="26"/>
        </w:rPr>
        <w:t>оборотно</w:t>
      </w:r>
      <w:proofErr w:type="spellEnd"/>
      <w:r w:rsidR="008B6853" w:rsidRPr="008B6853">
        <w:rPr>
          <w:rFonts w:ascii="Times New Roman" w:hAnsi="Times New Roman"/>
          <w:sz w:val="26"/>
          <w:szCs w:val="26"/>
        </w:rPr>
        <w:t>-сальдовых ведомостях по счетам «205.00» и «209.00» за 2017-2018 годы, установлено, что в нарушение абзаца 7 пункта 2 статьи 160.1 Бюджетного кодекса РФ министерством в 2017 году не размещалась информация в ГИС ГМП, в 2018 году информация по платежам размещена в ГИС ГМП не в полном объеме. К примеру, за 2018 финансовый год в ГИС ГМП отсутствуют сведения о 69 платежах на общую сумму 385,8 тыс. рублей по четырем видам неналоговых доходов</w:t>
      </w:r>
      <w:r>
        <w:rPr>
          <w:rFonts w:ascii="Times New Roman" w:hAnsi="Times New Roman"/>
          <w:sz w:val="26"/>
          <w:szCs w:val="26"/>
        </w:rPr>
        <w:t>;</w:t>
      </w:r>
    </w:p>
    <w:p w:rsidR="008B6853" w:rsidRPr="008B6853" w:rsidRDefault="000E0B86"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в</w:t>
      </w:r>
      <w:r w:rsidR="008B6853" w:rsidRPr="008B6853">
        <w:rPr>
          <w:rFonts w:ascii="Times New Roman" w:hAnsi="Times New Roman"/>
          <w:sz w:val="26"/>
          <w:szCs w:val="26"/>
        </w:rPr>
        <w:t>нутренний финансовый контроль осуществлялся в министерстве на недостаточном уровне</w:t>
      </w:r>
      <w:r>
        <w:rPr>
          <w:rFonts w:ascii="Times New Roman" w:hAnsi="Times New Roman"/>
          <w:sz w:val="26"/>
          <w:szCs w:val="26"/>
        </w:rPr>
        <w:t>;</w:t>
      </w:r>
    </w:p>
    <w:p w:rsidR="008B6853" w:rsidRPr="008B6853" w:rsidRDefault="000E0B86"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в</w:t>
      </w:r>
      <w:r w:rsidR="008B6853" w:rsidRPr="008B6853">
        <w:rPr>
          <w:rFonts w:ascii="Times New Roman" w:hAnsi="Times New Roman"/>
          <w:sz w:val="26"/>
          <w:szCs w:val="26"/>
        </w:rPr>
        <w:t xml:space="preserve"> нарушение пункта 4 статьи 160.2-1 Бюджетного кодекса РФ министерством, как главным администратором доходов областного бюджета, не обеспечена реализация положений, установленных разделом 3 «</w:t>
      </w:r>
      <w:hyperlink r:id="rId13" w:history="1">
        <w:r w:rsidR="008B6853" w:rsidRPr="008B6853">
          <w:rPr>
            <w:rFonts w:ascii="Times New Roman" w:hAnsi="Times New Roman"/>
            <w:sz w:val="26"/>
            <w:szCs w:val="26"/>
          </w:rPr>
          <w:t>Поряд</w:t>
        </w:r>
      </w:hyperlink>
      <w:r w:rsidR="008B6853" w:rsidRPr="008B6853">
        <w:rPr>
          <w:rFonts w:ascii="Times New Roman" w:hAnsi="Times New Roman"/>
          <w:sz w:val="26"/>
          <w:szCs w:val="26"/>
        </w:rPr>
        <w:t>ка осуществления главными распорядителями (распорядителями) средств областного бюджета, главными администраторами (администраторами) доходов областного бюджета, главными администраторами (администраторами) источников финансирования дефицита областного бюджета внутреннего финансового контроля и внутреннего финансового аудита», утвержденного постановлением Правительства Мурманской области от 10 июля 2014 года № 348-ПП в части осуществления внутреннего финансового аудита.</w:t>
      </w:r>
    </w:p>
    <w:p w:rsidR="008B6853" w:rsidRPr="000179B8" w:rsidRDefault="008B6853" w:rsidP="008B6853">
      <w:pPr>
        <w:widowControl w:val="0"/>
        <w:spacing w:after="0" w:line="240" w:lineRule="auto"/>
        <w:ind w:firstLine="709"/>
        <w:jc w:val="both"/>
        <w:rPr>
          <w:rFonts w:ascii="Times New Roman" w:hAnsi="Times New Roman"/>
          <w:sz w:val="16"/>
          <w:szCs w:val="16"/>
        </w:rPr>
      </w:pPr>
    </w:p>
    <w:p w:rsidR="008B6853" w:rsidRDefault="008B6853" w:rsidP="000C0E65">
      <w:pPr>
        <w:spacing w:after="0" w:line="240" w:lineRule="auto"/>
        <w:ind w:firstLine="709"/>
        <w:jc w:val="center"/>
        <w:rPr>
          <w:rFonts w:ascii="Times New Roman" w:hAnsi="Times New Roman"/>
          <w:b/>
          <w:sz w:val="26"/>
          <w:szCs w:val="26"/>
        </w:rPr>
      </w:pPr>
      <w:r w:rsidRPr="009054E7">
        <w:rPr>
          <w:rFonts w:ascii="Times New Roman" w:hAnsi="Times New Roman"/>
          <w:b/>
          <w:sz w:val="26"/>
          <w:szCs w:val="26"/>
        </w:rPr>
        <w:t>2. Основные итоги проверок порядка управления (распоряжения) и эффективности использования имущества Мурманской области</w:t>
      </w:r>
    </w:p>
    <w:p w:rsidR="000E0B86" w:rsidRPr="003D1CDB" w:rsidRDefault="000E0B86" w:rsidP="008B6853">
      <w:pPr>
        <w:spacing w:after="0" w:line="240" w:lineRule="auto"/>
        <w:ind w:firstLine="709"/>
        <w:jc w:val="center"/>
        <w:rPr>
          <w:rFonts w:ascii="Times New Roman" w:hAnsi="Times New Roman"/>
          <w:b/>
          <w:sz w:val="12"/>
          <w:szCs w:val="12"/>
        </w:rPr>
      </w:pPr>
    </w:p>
    <w:p w:rsidR="008B6853" w:rsidRPr="008B6853" w:rsidRDefault="008B6853" w:rsidP="008B6853">
      <w:pPr>
        <w:tabs>
          <w:tab w:val="left" w:pos="284"/>
        </w:tabs>
        <w:suppressAutoHyphens/>
        <w:spacing w:after="0" w:line="240" w:lineRule="auto"/>
        <w:ind w:firstLine="709"/>
        <w:jc w:val="both"/>
        <w:rPr>
          <w:rFonts w:ascii="Times New Roman" w:hAnsi="Times New Roman"/>
          <w:sz w:val="26"/>
          <w:szCs w:val="26"/>
        </w:rPr>
      </w:pPr>
      <w:r w:rsidRPr="008B6853">
        <w:rPr>
          <w:rFonts w:ascii="Times New Roman" w:hAnsi="Times New Roman"/>
          <w:sz w:val="26"/>
          <w:szCs w:val="26"/>
        </w:rPr>
        <w:t xml:space="preserve">По результатам контрольного мероприятия </w:t>
      </w:r>
      <w:r w:rsidRPr="008B6853">
        <w:rPr>
          <w:rFonts w:ascii="Times New Roman" w:hAnsi="Times New Roman"/>
          <w:b/>
          <w:sz w:val="26"/>
          <w:szCs w:val="26"/>
        </w:rPr>
        <w:t>«Проверка соблюдения установленного порядка управления, распоряжения имуществом в составе государственной собственности Мурманской области, находящимся в оперативном управлении государственных автономных учреждений, подведомственных Комитету по физической культуре и спорту Мурманской области (выборочно), и его использования в 2018 году и истекшем периоде 2019 года»</w:t>
      </w:r>
      <w:r w:rsidRPr="008B6853">
        <w:rPr>
          <w:rFonts w:ascii="Times New Roman" w:hAnsi="Times New Roman"/>
          <w:sz w:val="26"/>
          <w:szCs w:val="26"/>
        </w:rPr>
        <w:t xml:space="preserve"> установлено следующее.</w:t>
      </w:r>
    </w:p>
    <w:p w:rsidR="008B6853" w:rsidRPr="008B6853" w:rsidRDefault="008B6853" w:rsidP="008B6853">
      <w:pPr>
        <w:widowControl w:val="0"/>
        <w:spacing w:after="0" w:line="240" w:lineRule="auto"/>
        <w:ind w:firstLine="709"/>
        <w:jc w:val="both"/>
        <w:rPr>
          <w:rFonts w:ascii="Times New Roman" w:hAnsi="Times New Roman"/>
          <w:sz w:val="26"/>
          <w:szCs w:val="26"/>
        </w:rPr>
      </w:pPr>
      <w:r w:rsidRPr="008B6853">
        <w:rPr>
          <w:rFonts w:ascii="Times New Roman" w:hAnsi="Times New Roman"/>
          <w:sz w:val="26"/>
          <w:szCs w:val="26"/>
        </w:rPr>
        <w:t>Уставы проверенных автономных учреждений ГАУМО «Мурманская областная спортивная школа олимпийского резерва по зимним видам спорта» (далее – ГАУМО «МОСШОР по ЗВС»), ГАУМО «Кировская спортивная школа олимпийского резерва по горнолыжному спорту» (далее – ГАУМО «Кировская СШОР»), ГАУМО «</w:t>
      </w:r>
      <w:proofErr w:type="spellStart"/>
      <w:r w:rsidRPr="008B6853">
        <w:rPr>
          <w:rFonts w:ascii="Times New Roman" w:hAnsi="Times New Roman"/>
          <w:sz w:val="26"/>
          <w:szCs w:val="26"/>
        </w:rPr>
        <w:t>Мончегорская</w:t>
      </w:r>
      <w:proofErr w:type="spellEnd"/>
      <w:r w:rsidRPr="008B6853">
        <w:rPr>
          <w:rFonts w:ascii="Times New Roman" w:hAnsi="Times New Roman"/>
          <w:sz w:val="26"/>
          <w:szCs w:val="26"/>
        </w:rPr>
        <w:t xml:space="preserve"> спортивная школа олимпийского резерва по горнолыжному спорту» (далее – ГАУМО «</w:t>
      </w:r>
      <w:proofErr w:type="spellStart"/>
      <w:r w:rsidRPr="008B6853">
        <w:rPr>
          <w:rFonts w:ascii="Times New Roman" w:hAnsi="Times New Roman"/>
          <w:sz w:val="26"/>
          <w:szCs w:val="26"/>
        </w:rPr>
        <w:t>Мончегорская</w:t>
      </w:r>
      <w:proofErr w:type="spellEnd"/>
      <w:r w:rsidRPr="008B6853">
        <w:rPr>
          <w:rFonts w:ascii="Times New Roman" w:hAnsi="Times New Roman"/>
          <w:sz w:val="26"/>
          <w:szCs w:val="26"/>
        </w:rPr>
        <w:t xml:space="preserve"> СШОР») и ГАУМО «Мурманская областная спортивная школа олимпийского резерва» (далее – ГАУМО «МОСШОР») в целом соответствуют требованиям, установленным пунктом 2 статьи 7 Федерального закона от 3 ноября 2006 года № 174-ФЗ «Об автономных учреждениях» (далее – Федеральный закон № 174-ФЗ).</w:t>
      </w:r>
    </w:p>
    <w:p w:rsidR="008B6853" w:rsidRPr="008B6853" w:rsidRDefault="008B6853" w:rsidP="008B6853">
      <w:pPr>
        <w:widowControl w:val="0"/>
        <w:spacing w:after="0" w:line="240" w:lineRule="auto"/>
        <w:ind w:firstLine="709"/>
        <w:jc w:val="both"/>
        <w:rPr>
          <w:rFonts w:ascii="Times New Roman" w:hAnsi="Times New Roman"/>
          <w:sz w:val="26"/>
          <w:szCs w:val="26"/>
        </w:rPr>
      </w:pPr>
      <w:r w:rsidRPr="008B6853">
        <w:rPr>
          <w:rFonts w:ascii="Times New Roman" w:hAnsi="Times New Roman"/>
          <w:sz w:val="26"/>
          <w:szCs w:val="26"/>
        </w:rPr>
        <w:t>В 2018 году и в 1 квартале 2019 года имущество, закрепленное за автономными учреждениями на праве оперативного управления, а также имущество, приобретенное за счет средств, выделенных учредителем, или за счет средств, полученных от приносящей доход деятельности, в аренду не сдавалось, продажа такого имущества и передача его в безвозмездное пользование не осуществлялась.</w:t>
      </w:r>
    </w:p>
    <w:p w:rsidR="008B6853" w:rsidRPr="008B6853" w:rsidRDefault="008B6853" w:rsidP="008B6853">
      <w:pPr>
        <w:widowControl w:val="0"/>
        <w:spacing w:after="0" w:line="240" w:lineRule="auto"/>
        <w:ind w:firstLine="709"/>
        <w:jc w:val="both"/>
        <w:rPr>
          <w:rFonts w:ascii="Times New Roman" w:hAnsi="Times New Roman"/>
          <w:sz w:val="26"/>
          <w:szCs w:val="26"/>
        </w:rPr>
      </w:pPr>
      <w:r w:rsidRPr="008B6853">
        <w:rPr>
          <w:rFonts w:ascii="Times New Roman" w:hAnsi="Times New Roman"/>
          <w:sz w:val="26"/>
          <w:szCs w:val="26"/>
        </w:rPr>
        <w:t>Планы финансово-хозяйственной деятельности на 2018 год и на 2019 год, Отчеты о результатах деятельности автономных учреждений и об использовании закрепленного за ними государственного имущества за 2018 год согласованы наблюдательными советами автономных учреждений и утверждены их директорами в соответствии с действующими порядками.</w:t>
      </w:r>
    </w:p>
    <w:p w:rsidR="008B6853" w:rsidRPr="008B6853" w:rsidRDefault="008B6853" w:rsidP="008B6853">
      <w:pPr>
        <w:widowControl w:val="0"/>
        <w:spacing w:after="0" w:line="240" w:lineRule="auto"/>
        <w:ind w:firstLine="709"/>
        <w:jc w:val="both"/>
        <w:rPr>
          <w:rFonts w:ascii="Times New Roman" w:hAnsi="Times New Roman"/>
          <w:sz w:val="26"/>
          <w:szCs w:val="26"/>
        </w:rPr>
      </w:pPr>
      <w:r w:rsidRPr="008B6853">
        <w:rPr>
          <w:rFonts w:ascii="Times New Roman" w:hAnsi="Times New Roman"/>
          <w:sz w:val="26"/>
          <w:szCs w:val="26"/>
        </w:rPr>
        <w:lastRenderedPageBreak/>
        <w:t>По результатам мероприятия установлены нарушения и недостатки, из них:</w:t>
      </w:r>
    </w:p>
    <w:p w:rsidR="008B6853" w:rsidRPr="008B6853" w:rsidRDefault="000E0B86"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8B6853" w:rsidRPr="008B6853">
        <w:rPr>
          <w:rFonts w:ascii="Times New Roman" w:hAnsi="Times New Roman"/>
          <w:sz w:val="26"/>
          <w:szCs w:val="26"/>
        </w:rPr>
        <w:t xml:space="preserve"> </w:t>
      </w:r>
      <w:r>
        <w:rPr>
          <w:rFonts w:ascii="Times New Roman" w:hAnsi="Times New Roman"/>
          <w:sz w:val="26"/>
          <w:szCs w:val="26"/>
        </w:rPr>
        <w:t>в</w:t>
      </w:r>
      <w:r w:rsidR="008B6853" w:rsidRPr="008B6853">
        <w:rPr>
          <w:rFonts w:ascii="Times New Roman" w:hAnsi="Times New Roman"/>
          <w:sz w:val="26"/>
          <w:szCs w:val="26"/>
        </w:rPr>
        <w:t xml:space="preserve"> нарушение пункта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 форма «Отчета о результатах деятельности учреждения и об использовании закрепленного за ним государственного имущества», утвержденная приказом Комитета по физической культуре и спорту Мурманской области от 12.03.2019 № 141, не предусматривает указание подведомственными учреждениями ряда сведений за предшествующий отчетному год</w:t>
      </w:r>
      <w:r>
        <w:rPr>
          <w:rFonts w:ascii="Times New Roman" w:hAnsi="Times New Roman"/>
          <w:sz w:val="26"/>
          <w:szCs w:val="26"/>
        </w:rPr>
        <w:t>;</w:t>
      </w:r>
    </w:p>
    <w:p w:rsidR="008B6853" w:rsidRPr="008B6853" w:rsidRDefault="000E0B86"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8B6853" w:rsidRPr="008B6853">
        <w:rPr>
          <w:rFonts w:ascii="Times New Roman" w:hAnsi="Times New Roman"/>
          <w:sz w:val="26"/>
          <w:szCs w:val="26"/>
        </w:rPr>
        <w:t xml:space="preserve"> ГАУМО «МОСШОР» и ГАУМО «</w:t>
      </w:r>
      <w:proofErr w:type="spellStart"/>
      <w:r w:rsidR="008B6853" w:rsidRPr="008B6853">
        <w:rPr>
          <w:rFonts w:ascii="Times New Roman" w:hAnsi="Times New Roman"/>
          <w:sz w:val="26"/>
          <w:szCs w:val="26"/>
        </w:rPr>
        <w:t>Мончегорская</w:t>
      </w:r>
      <w:proofErr w:type="spellEnd"/>
      <w:r w:rsidR="008B6853" w:rsidRPr="008B6853">
        <w:rPr>
          <w:rFonts w:ascii="Times New Roman" w:hAnsi="Times New Roman"/>
          <w:sz w:val="26"/>
          <w:szCs w:val="26"/>
        </w:rPr>
        <w:t xml:space="preserve"> СШОР» допущено искажение показателей бухгалтерской отчетности за 2018 год в части отражения недостоверных данных по ряду строк формы 0503768 «Сведения о движении нефинансовых активов учреждения», выраженных в денежном измерении, более чем на 10,0 процентов, что содержит признаки административного правонарушения</w:t>
      </w:r>
      <w:r>
        <w:rPr>
          <w:rFonts w:ascii="Times New Roman" w:hAnsi="Times New Roman"/>
          <w:sz w:val="26"/>
          <w:szCs w:val="26"/>
        </w:rPr>
        <w:t>;</w:t>
      </w:r>
    </w:p>
    <w:p w:rsidR="008B6853" w:rsidRPr="008B6853" w:rsidRDefault="00AA391E"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8B6853" w:rsidRPr="008B6853">
        <w:rPr>
          <w:rFonts w:ascii="Times New Roman" w:hAnsi="Times New Roman"/>
          <w:sz w:val="26"/>
          <w:szCs w:val="26"/>
        </w:rPr>
        <w:t xml:space="preserve"> </w:t>
      </w:r>
      <w:r>
        <w:rPr>
          <w:rFonts w:ascii="Times New Roman" w:hAnsi="Times New Roman"/>
          <w:sz w:val="26"/>
          <w:szCs w:val="26"/>
        </w:rPr>
        <w:t>в</w:t>
      </w:r>
      <w:r w:rsidR="008B6853" w:rsidRPr="008B6853">
        <w:rPr>
          <w:rFonts w:ascii="Times New Roman" w:hAnsi="Times New Roman"/>
          <w:sz w:val="26"/>
          <w:szCs w:val="26"/>
        </w:rPr>
        <w:t xml:space="preserve"> нарушение части 1 статьи 15 Федерального закона № 174-ФЗ ГАУМО «Кировская СШОР» в феврале 2019 года совершена крупная сделка по заключению договора на сумму 29 532,5 тыс. рублей без одобрения наблюдательного совета автономного учреждения</w:t>
      </w:r>
      <w:r>
        <w:rPr>
          <w:rFonts w:ascii="Times New Roman" w:hAnsi="Times New Roman"/>
          <w:sz w:val="26"/>
          <w:szCs w:val="26"/>
        </w:rPr>
        <w:t>;</w:t>
      </w:r>
    </w:p>
    <w:p w:rsidR="008B6853" w:rsidRPr="008B6853" w:rsidRDefault="00AA391E"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8B6853" w:rsidRPr="008B6853">
        <w:rPr>
          <w:rFonts w:ascii="Times New Roman" w:hAnsi="Times New Roman"/>
          <w:sz w:val="26"/>
          <w:szCs w:val="26"/>
        </w:rPr>
        <w:t xml:space="preserve"> </w:t>
      </w:r>
      <w:r>
        <w:rPr>
          <w:rFonts w:ascii="Times New Roman" w:hAnsi="Times New Roman"/>
          <w:sz w:val="26"/>
          <w:szCs w:val="26"/>
        </w:rPr>
        <w:t>в</w:t>
      </w:r>
      <w:r w:rsidR="008B6853" w:rsidRPr="008B6853">
        <w:rPr>
          <w:rFonts w:ascii="Times New Roman" w:hAnsi="Times New Roman"/>
          <w:sz w:val="26"/>
          <w:szCs w:val="26"/>
        </w:rPr>
        <w:t xml:space="preserve"> нарушение части 4 статьи 3 Федерального закона № 174-ФЗ и абзаца 2 пункта 3 «Порядка определения видов особо ценного движимого имущества государственных областных автономных и бюджетных учреждений», утвержденного постановлением Правительства Мурманской области от 30 декабря 2010 года № 630-ПП имущество, безвозмездно переданное ГАУМО «МОСШОР» в количестве 15 единиц на сумму 5 247,1 тыс. рублей и ГАУМО «</w:t>
      </w:r>
      <w:proofErr w:type="spellStart"/>
      <w:r w:rsidR="008B6853" w:rsidRPr="008B6853">
        <w:rPr>
          <w:rFonts w:ascii="Times New Roman" w:hAnsi="Times New Roman"/>
          <w:sz w:val="26"/>
          <w:szCs w:val="26"/>
        </w:rPr>
        <w:t>Мончегорская</w:t>
      </w:r>
      <w:proofErr w:type="spellEnd"/>
      <w:r w:rsidR="008B6853" w:rsidRPr="008B6853">
        <w:rPr>
          <w:rFonts w:ascii="Times New Roman" w:hAnsi="Times New Roman"/>
          <w:sz w:val="26"/>
          <w:szCs w:val="26"/>
        </w:rPr>
        <w:t xml:space="preserve"> СШОР» в количестве 15 единиц на сумму 5 496,0 тыс. рублей, а также имущество, приобретенное ГАУМО «МОСШОР» в количестве 5 единиц на сумму 1 553,5 тыс. рублей за счет выделенных учредителем средств, стоимостью более 100,0 тыс. рублей за единицу, отнесено Комитетом по физической культуре и спорту Мурманской области к категории особо ценного движимого имущества с нарушением установленного срока от одного месяца до года</w:t>
      </w:r>
      <w:r>
        <w:rPr>
          <w:rFonts w:ascii="Times New Roman" w:hAnsi="Times New Roman"/>
          <w:sz w:val="26"/>
          <w:szCs w:val="26"/>
        </w:rPr>
        <w:t>;</w:t>
      </w:r>
    </w:p>
    <w:p w:rsidR="008B6853" w:rsidRPr="008B6853" w:rsidRDefault="00AA391E"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в</w:t>
      </w:r>
      <w:r w:rsidR="008B6853" w:rsidRPr="008B6853">
        <w:rPr>
          <w:rFonts w:ascii="Times New Roman" w:hAnsi="Times New Roman"/>
          <w:sz w:val="26"/>
          <w:szCs w:val="26"/>
        </w:rPr>
        <w:t xml:space="preserve"> нарушение требований пункта 1 статьи 131 Гражданского кодекса РФ во взаимосвязи со статьей 8 Федерального закона от 13 июля 2015 года № 218-ФЗ «О государственной регистрации недвижимости» не зарегистрировано право оперативного управления ГАУМО «</w:t>
      </w:r>
      <w:proofErr w:type="spellStart"/>
      <w:r w:rsidR="008B6853" w:rsidRPr="008B6853">
        <w:rPr>
          <w:rFonts w:ascii="Times New Roman" w:hAnsi="Times New Roman"/>
          <w:sz w:val="26"/>
          <w:szCs w:val="26"/>
        </w:rPr>
        <w:t>Мончегорская</w:t>
      </w:r>
      <w:proofErr w:type="spellEnd"/>
      <w:r w:rsidR="008B6853" w:rsidRPr="008B6853">
        <w:rPr>
          <w:rFonts w:ascii="Times New Roman" w:hAnsi="Times New Roman"/>
          <w:sz w:val="26"/>
          <w:szCs w:val="26"/>
        </w:rPr>
        <w:t xml:space="preserve"> СШОР» на три объекта недвижимого имущества общей балансовой стоимостью 218,2 тыс. рублей</w:t>
      </w:r>
      <w:r>
        <w:rPr>
          <w:rFonts w:ascii="Times New Roman" w:hAnsi="Times New Roman"/>
          <w:sz w:val="26"/>
          <w:szCs w:val="26"/>
        </w:rPr>
        <w:t>;</w:t>
      </w:r>
    </w:p>
    <w:p w:rsidR="008B6853" w:rsidRPr="008B6853" w:rsidRDefault="00AA391E"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в</w:t>
      </w:r>
      <w:r w:rsidR="008B6853" w:rsidRPr="008B6853">
        <w:rPr>
          <w:rFonts w:ascii="Times New Roman" w:hAnsi="Times New Roman"/>
          <w:sz w:val="26"/>
          <w:szCs w:val="26"/>
        </w:rPr>
        <w:t xml:space="preserve"> нарушение пункта 7 части 1 статьи 11 Федерального закона № 174-ФЗ, а также подпункта 7 пункта 7.15 Устава учреждений в протоколах наблюдательного совета ГАУМО «МОСШОР» и  ГАУМО «МОСШОР по ЗВС» отсутствует информация о рассмотрении годовой бухгалтерской отчетности учреждения за 2018 год, в том числе формы 0503737 «Отчет об исполнении учреждением плана его финансово-хозяйственной деятельности»</w:t>
      </w:r>
      <w:r>
        <w:rPr>
          <w:rFonts w:ascii="Times New Roman" w:hAnsi="Times New Roman"/>
          <w:sz w:val="26"/>
          <w:szCs w:val="26"/>
        </w:rPr>
        <w:t>;</w:t>
      </w:r>
    </w:p>
    <w:p w:rsidR="008B6853" w:rsidRPr="008B6853" w:rsidRDefault="00AA391E" w:rsidP="008B6853">
      <w:pPr>
        <w:widowControl w:val="0"/>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8B6853" w:rsidRPr="008B6853">
        <w:rPr>
          <w:rFonts w:ascii="Times New Roman" w:hAnsi="Times New Roman"/>
          <w:sz w:val="26"/>
          <w:szCs w:val="26"/>
        </w:rPr>
        <w:t xml:space="preserve"> </w:t>
      </w:r>
      <w:r>
        <w:rPr>
          <w:rFonts w:ascii="Times New Roman" w:hAnsi="Times New Roman"/>
          <w:sz w:val="26"/>
          <w:szCs w:val="26"/>
        </w:rPr>
        <w:t>п</w:t>
      </w:r>
      <w:r w:rsidR="008B6853" w:rsidRPr="008B6853">
        <w:rPr>
          <w:rFonts w:ascii="Times New Roman" w:hAnsi="Times New Roman"/>
          <w:sz w:val="26"/>
          <w:szCs w:val="26"/>
        </w:rPr>
        <w:t>о результатам осмотра движимого имущества установлено неэффективное использование областного имущества (не смонтированы 33 единицы спортивного оборудования) ГАУМО «МОСШОР по ЗВС», ГАУМО «МОСШОР» и ГАУМО «Кировская СШОР» на общую сумму 9 870,2 тыс. рублей, полученного в 2017-2019 годах.</w:t>
      </w:r>
    </w:p>
    <w:p w:rsidR="00AF7EC9" w:rsidRPr="00AF7EC9" w:rsidRDefault="00AF7EC9" w:rsidP="00AF7EC9"/>
    <w:p w:rsidR="00795AD0" w:rsidRPr="00BF165D" w:rsidRDefault="008B6853" w:rsidP="000C0E65">
      <w:pPr>
        <w:pStyle w:val="3"/>
        <w:ind w:firstLine="709"/>
        <w:jc w:val="center"/>
        <w:rPr>
          <w:i w:val="0"/>
          <w:sz w:val="26"/>
          <w:szCs w:val="26"/>
        </w:rPr>
      </w:pPr>
      <w:r w:rsidRPr="00BF165D">
        <w:rPr>
          <w:i w:val="0"/>
          <w:sz w:val="26"/>
          <w:szCs w:val="26"/>
        </w:rPr>
        <w:lastRenderedPageBreak/>
        <w:t>3</w:t>
      </w:r>
      <w:r w:rsidR="00795AD0" w:rsidRPr="00BF165D">
        <w:rPr>
          <w:i w:val="0"/>
          <w:sz w:val="26"/>
          <w:szCs w:val="26"/>
        </w:rPr>
        <w:t>. </w:t>
      </w:r>
      <w:bookmarkEnd w:id="0"/>
      <w:bookmarkEnd w:id="1"/>
      <w:r w:rsidR="00753287" w:rsidRPr="00BF165D">
        <w:rPr>
          <w:i w:val="0"/>
          <w:sz w:val="26"/>
          <w:szCs w:val="26"/>
        </w:rPr>
        <w:t>Основные результаты проверок соблюдения законодательства при использовании бюджетных средств, выделяемых на обеспечение исполнения функций государственных органов, на финансовое обеспечение деятельности государственных учреждений и иных некоммерческих организаций</w:t>
      </w:r>
    </w:p>
    <w:p w:rsidR="00753287" w:rsidRPr="00BF165D" w:rsidRDefault="008B6853" w:rsidP="00BB1FD2">
      <w:pPr>
        <w:pStyle w:val="60"/>
        <w:spacing w:before="0"/>
        <w:rPr>
          <w:szCs w:val="26"/>
          <w:lang w:eastAsia="x-none"/>
        </w:rPr>
      </w:pPr>
      <w:r w:rsidRPr="002C49D3">
        <w:rPr>
          <w:b/>
          <w:szCs w:val="26"/>
          <w:lang w:eastAsia="x-none"/>
        </w:rPr>
        <w:t>3</w:t>
      </w:r>
      <w:r w:rsidR="00226908" w:rsidRPr="002C49D3">
        <w:rPr>
          <w:b/>
          <w:szCs w:val="26"/>
          <w:lang w:eastAsia="x-none"/>
        </w:rPr>
        <w:t>.1.</w:t>
      </w:r>
      <w:r w:rsidR="00226908" w:rsidRPr="00BF165D">
        <w:rPr>
          <w:szCs w:val="26"/>
          <w:lang w:eastAsia="x-none"/>
        </w:rPr>
        <w:t xml:space="preserve"> </w:t>
      </w:r>
      <w:r w:rsidR="00753287" w:rsidRPr="00BF165D">
        <w:rPr>
          <w:szCs w:val="26"/>
          <w:lang w:eastAsia="x-none"/>
        </w:rPr>
        <w:t xml:space="preserve">В ходе контрольного мероприятия </w:t>
      </w:r>
      <w:r w:rsidR="00753287" w:rsidRPr="00BF165D">
        <w:rPr>
          <w:b/>
          <w:bCs/>
          <w:szCs w:val="26"/>
          <w:lang w:eastAsia="x-none"/>
        </w:rPr>
        <w:t>«Проверка законности и результативности использования средств областного бюджета и соблюдения порядка управления и распоряжения имуществом, находящимся в государственной собственности Мурманской области, в государственном автономном учреждении Мурманской области «Центр спортивной подготовки» за 2018 год и истекший период 2019 года»</w:t>
      </w:r>
      <w:r w:rsidR="00753287" w:rsidRPr="00BF165D">
        <w:rPr>
          <w:szCs w:val="26"/>
          <w:lang w:eastAsia="x-none"/>
        </w:rPr>
        <w:t xml:space="preserve"> установлено следующее.</w:t>
      </w:r>
    </w:p>
    <w:p w:rsidR="00753287" w:rsidRPr="00BF165D" w:rsidRDefault="00753287" w:rsidP="00BB1FD2">
      <w:pPr>
        <w:tabs>
          <w:tab w:val="left" w:pos="284"/>
        </w:tabs>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Финансовое обеспечение деятельности Учреждения осуществляется за счет средств областного бюджета, предоставляемых Комитетом по физической культуре и спорту Мурманской области (далее по тексту пункта – Комитет) в форме субсидии на финансовое обеспечение выполнения государственного задания и субсидий на иные цели, а также за счет доходов от оказания платных услуг.</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Объемы субсидии на финансовое обеспечение выполнения государственного задания составили: на 2018 год – 229 762,9 тыс. рублей на выполнение 11 государственных работ, на 2019 год – 289 700,1 тыс. рублей на выполнение 15 государственных работ.</w:t>
      </w:r>
      <w:r w:rsidRPr="00BF165D">
        <w:rPr>
          <w:rFonts w:ascii="Times New Roman" w:hAnsi="Times New Roman"/>
          <w:sz w:val="26"/>
          <w:szCs w:val="26"/>
        </w:rPr>
        <w:t xml:space="preserve"> </w:t>
      </w:r>
      <w:r w:rsidRPr="00BF165D">
        <w:rPr>
          <w:rFonts w:ascii="Times New Roman" w:hAnsi="Times New Roman"/>
          <w:sz w:val="26"/>
          <w:szCs w:val="26"/>
          <w:lang w:eastAsia="x-none"/>
        </w:rPr>
        <w:t>Порядок определения нормативных затрат на оказание государственных услуг (выполнение работ) соблюден.</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Проверкой расходов на оплату труда работников выявлены нарушения при осуществлении</w:t>
      </w:r>
      <w:r w:rsidRPr="00BF165D">
        <w:rPr>
          <w:rFonts w:ascii="Times New Roman" w:hAnsi="Times New Roman"/>
          <w:sz w:val="26"/>
          <w:szCs w:val="26"/>
        </w:rPr>
        <w:t xml:space="preserve"> </w:t>
      </w:r>
      <w:r w:rsidRPr="00BF165D">
        <w:rPr>
          <w:rFonts w:ascii="Times New Roman" w:hAnsi="Times New Roman"/>
          <w:sz w:val="26"/>
          <w:szCs w:val="26"/>
          <w:lang w:eastAsia="x-none"/>
        </w:rPr>
        <w:t xml:space="preserve">доплаты за увеличение объема работ и установлении доплаты до минимального размера оплаты труда (неправомерные расходы за счет субсидии на </w:t>
      </w:r>
      <w:proofErr w:type="spellStart"/>
      <w:r w:rsidRPr="00BF165D">
        <w:rPr>
          <w:rFonts w:ascii="Times New Roman" w:hAnsi="Times New Roman"/>
          <w:sz w:val="26"/>
          <w:szCs w:val="26"/>
          <w:lang w:eastAsia="x-none"/>
        </w:rPr>
        <w:t>госзадание</w:t>
      </w:r>
      <w:proofErr w:type="spellEnd"/>
      <w:r w:rsidRPr="00BF165D">
        <w:rPr>
          <w:rFonts w:ascii="Times New Roman" w:hAnsi="Times New Roman"/>
          <w:sz w:val="26"/>
          <w:szCs w:val="26"/>
          <w:lang w:eastAsia="x-none"/>
        </w:rPr>
        <w:t xml:space="preserve"> составили 47,1 тыс. рублей); допускалось осуществление выплат, не предусмотренных трудовым договором (неправомерные расходы в сумме 5,0 тыс. рублей). Кроме того, штатное расписание и структура ГАУМО «ЦСП» не соответствовали рекомендуемому штатному расписанию регионального центра спортивной подготовки, установленному приказом Минспорта России, а квалификация ряда работников не соответствовала требованиям, определенным соответствующими профессиональными стандартами. Вместе с тем непосредственно система оплату труда ГАУМО «ЦСП», утвержденная приказами по учреждению и действующая в проверяемом периоде, содержала положения, нарушающие и противоречащие нормам, утвержденным Правительством Мурманской области, в том числе в части применения не предусмотренных нормативными правовыми актами повышающих коэффициентов к окладам и видов выплат стимулирующего характера.</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Проверкой соблюдения порядка осуществления закупок товаров, работ, услуг выявлено нарушение Положения о закупках ГАУМО «ЦСП», в части объединения в предмет закупки товаров, работ, услуг технологически и функционально не связанных между собой (всего с нарушением заключено 6 договоров на общую сумму 629,0 тыс. рублей). Кроме того, при заключении указанных договоров допущены нарушения: нарушение Федерального закона от 26.07.2006 № 135-ФЗ «О защите конкуренции» (три договора), выразившееся в</w:t>
      </w:r>
      <w:r w:rsidRPr="00BF165D">
        <w:rPr>
          <w:rFonts w:ascii="Times New Roman" w:hAnsi="Times New Roman"/>
          <w:sz w:val="26"/>
          <w:szCs w:val="26"/>
        </w:rPr>
        <w:t xml:space="preserve"> </w:t>
      </w:r>
      <w:r w:rsidRPr="00BF165D">
        <w:rPr>
          <w:rFonts w:ascii="Times New Roman" w:hAnsi="Times New Roman"/>
          <w:sz w:val="26"/>
          <w:szCs w:val="26"/>
          <w:lang w:eastAsia="x-none"/>
        </w:rPr>
        <w:t>передаче выполнения части установленного Учреждению государственного задания сторонним организациям, и нарушение Положения о проведении Кубка Мурманской области по автомобильному спорту (ледовые гонки) (три договора), выразившееся в</w:t>
      </w:r>
      <w:r w:rsidRPr="00BF165D">
        <w:rPr>
          <w:rFonts w:ascii="Times New Roman" w:hAnsi="Times New Roman"/>
          <w:sz w:val="26"/>
          <w:szCs w:val="26"/>
        </w:rPr>
        <w:t xml:space="preserve"> </w:t>
      </w:r>
      <w:r w:rsidRPr="00BF165D">
        <w:rPr>
          <w:rFonts w:ascii="Times New Roman" w:hAnsi="Times New Roman"/>
          <w:sz w:val="26"/>
          <w:szCs w:val="26"/>
          <w:lang w:eastAsia="x-none"/>
        </w:rPr>
        <w:t>передаче полномочий Учреждения по непосредственному проведению соревнований иной организации.</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lastRenderedPageBreak/>
        <w:t>Проверкой расходов за счет субсидий, предоставленных на цели, не связанные с финансовым обеспечением выполнения государственного задания, выявлены следующие нарушения:</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Комитетом</w:t>
      </w:r>
      <w:r w:rsidR="00753287" w:rsidRPr="00BF165D">
        <w:rPr>
          <w:rFonts w:ascii="Times New Roman" w:hAnsi="Times New Roman"/>
          <w:sz w:val="26"/>
          <w:szCs w:val="26"/>
        </w:rPr>
        <w:t xml:space="preserve"> </w:t>
      </w:r>
      <w:r w:rsidR="00753287" w:rsidRPr="00BF165D">
        <w:rPr>
          <w:rFonts w:ascii="Times New Roman" w:hAnsi="Times New Roman"/>
          <w:sz w:val="26"/>
          <w:szCs w:val="26"/>
          <w:lang w:eastAsia="x-none"/>
        </w:rPr>
        <w:t>не утвержден перечень целевых субсидий на 2018 год, не издан правовой акт об утверждении целевых показателей результативности использования субсидий на иные цели, предоставляемых ГАУМО «ЦСП»;</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по ряду соглашений о предоставлении субсидий на иные цели, заключенных Комитетом с ГАУМО «ЦСП» в 2018 году, не представляется возможным дать оценку эффективности использования бюджетных средств в связи с отсутствием или некорректностью установленных показателей результативности использования субсидий, в том числе при заключении пяти соглашений не были определены значения целевых показателей результативности использования субсидий;</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bookmarkStart w:id="3" w:name="_Hlk27736773"/>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xml:space="preserve"> цели предоставления субсидий, установленные двумя соглашениями, определены с нарушением установленного порядка, так как дублируют состав затрат, непосредственно связанных с выполнением государственных работ, финансовое обеспечение которых осуществляется за счет субсидии на </w:t>
      </w:r>
      <w:proofErr w:type="spellStart"/>
      <w:r w:rsidR="00753287" w:rsidRPr="00BF165D">
        <w:rPr>
          <w:rFonts w:ascii="Times New Roman" w:hAnsi="Times New Roman"/>
          <w:sz w:val="26"/>
          <w:szCs w:val="26"/>
          <w:lang w:eastAsia="x-none"/>
        </w:rPr>
        <w:t>госзадание</w:t>
      </w:r>
      <w:proofErr w:type="spellEnd"/>
      <w:r w:rsidR="00753287" w:rsidRPr="00BF165D">
        <w:rPr>
          <w:rFonts w:ascii="Times New Roman" w:hAnsi="Times New Roman"/>
          <w:sz w:val="26"/>
          <w:szCs w:val="26"/>
          <w:lang w:eastAsia="x-none"/>
        </w:rPr>
        <w:t>;</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в связи с несвоевременным решением кадровых и организационных вопросов автобус, приобретенный в рамках адресной финансовой поддержки спортивным организациям, осуществляющим подготовку спортивного резерва для сборных команд Российской Федерации, не использовался по назначению в течение длительного периода. Сумма неэффективных расходов на приобретение движимого имущества в 2018 году составила 4 550,0 тыс. рублей;</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в нарушение состава расходов, установленного Порядком финансирования профессиональной подготовки, переподготовки, повышения квалификации и участия в обучающих мероприятиях специалистов в сфере физической культуры и спорта, возмещены расходы на питание в сумме 1,6 тыс. рублей.</w:t>
      </w:r>
    </w:p>
    <w:bookmarkEnd w:id="3"/>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Установлено, что ГАУМО «ЦСП» является единственным получателем субсидии на организацию оздоровительного процесса в плавательных бассейнах для граждан пожилого возраста, инвалидов, граждан, находящихся в трудной жизненной ситуации, детей-сирот, детей, оставшихся без попечения родителей, в рамках реализации мероприятий государственной программы Мурманской области «Развитие физической культуры и спорта». В результате при планировании, выделении и использовании средств областного бюджета на организацию оздоровительного процесса в плавательных бассейнах не обеспечена возможность равного доступа всех граждан, относящихся к указанной в государственной программе группе, к спортивным объектам (бассейнам) в каждом муниципальном образовании Мурманской области, а также равного доступа всех организаций, оказывающих услуги плавательного бассейна в каждом муниципальном образовании Мурманской области, к финансированию за счет бюджетных ассигнований. Указанное также свидетельствует о снижении социально-экономической эффективности бюджетных расходов.</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Проверкой порядка управления, распоряжения и обеспечения сохранности государственного имущества установлено, что:</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сведения об объектах особо ценного движимого имущества учреждения, отраженные в реестре государственного имущества по состоянию на 01.07.2019, имеют расхождение с данными бухгалтерского учета ГАУМО «ЦСП» на сумму 76 888,9 тыс. рублей;</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lastRenderedPageBreak/>
        <w:sym w:font="Symbol" w:char="F0B7"/>
      </w:r>
      <w:r w:rsidR="00753287" w:rsidRPr="00BF165D">
        <w:rPr>
          <w:rFonts w:ascii="Times New Roman" w:hAnsi="Times New Roman"/>
          <w:sz w:val="26"/>
          <w:szCs w:val="26"/>
          <w:lang w:eastAsia="x-none"/>
        </w:rPr>
        <w:t> кадастровые (условные) номера девяти объектов недвижимого имущества, переданных от ГОУП «Учебно-спортивный центр» в 2016 году и учтенных в реестре государственного имущества, не соответствуют данным Единого государственного реестра прав на недвижимое имущество и сделок с ним;</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bookmarkStart w:id="4" w:name="_Hlk27736930"/>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на балансе ГАУМО «ЦСП» числится земельный участок площадью 13 581 м</w:t>
      </w:r>
      <w:r w:rsidR="00753287" w:rsidRPr="00BF165D">
        <w:rPr>
          <w:rFonts w:ascii="Times New Roman" w:hAnsi="Times New Roman"/>
          <w:sz w:val="26"/>
          <w:szCs w:val="26"/>
          <w:vertAlign w:val="superscript"/>
          <w:lang w:eastAsia="x-none"/>
        </w:rPr>
        <w:t>2</w:t>
      </w:r>
      <w:r w:rsidR="00753287" w:rsidRPr="00BF165D">
        <w:rPr>
          <w:rFonts w:ascii="Times New Roman" w:hAnsi="Times New Roman"/>
          <w:sz w:val="26"/>
          <w:szCs w:val="26"/>
          <w:lang w:eastAsia="x-none"/>
        </w:rPr>
        <w:t>, который не используется в уставной деятельности учреждения;</w:t>
      </w:r>
    </w:p>
    <w:bookmarkEnd w:id="4"/>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ГАУМО «ЦСП» не использовало предусмотренное договором аренды право начисления и требования оплаты пени, а также взыскания с арендатора просроченной задолженности;</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на момент осмотра в одном из помещений гаража находилось транспортное средство, не являющееся имуществом ГАУМО «ЦСП»;</w:t>
      </w:r>
    </w:p>
    <w:p w:rsidR="00753287" w:rsidRPr="00BF165D" w:rsidRDefault="00903D5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753287" w:rsidRPr="00BF165D">
        <w:rPr>
          <w:rFonts w:ascii="Times New Roman" w:hAnsi="Times New Roman"/>
          <w:sz w:val="26"/>
          <w:szCs w:val="26"/>
          <w:lang w:eastAsia="x-none"/>
        </w:rPr>
        <w:t> </w:t>
      </w:r>
      <w:r w:rsidR="00753287" w:rsidRPr="00BF165D">
        <w:rPr>
          <w:rFonts w:ascii="Times New Roman" w:hAnsi="Times New Roman"/>
          <w:bCs/>
          <w:sz w:val="26"/>
          <w:szCs w:val="26"/>
          <w:lang w:eastAsia="x-none"/>
        </w:rPr>
        <w:t xml:space="preserve">оснащенность </w:t>
      </w:r>
      <w:r w:rsidR="00753287" w:rsidRPr="00BF165D">
        <w:rPr>
          <w:rFonts w:ascii="Times New Roman" w:hAnsi="Times New Roman"/>
          <w:sz w:val="26"/>
          <w:szCs w:val="26"/>
          <w:lang w:eastAsia="x-none"/>
        </w:rPr>
        <w:t>легкоатлетического манежа (по отдельным наименованиям) не соответствует Табелю оснащения спортивных сооружений массового пользования спортивным оборудованием и инвентарем.</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По результатам контрольного мероприятия направлены информационные письма с предложениями в Правительство Мурманской области, Министерство</w:t>
      </w:r>
      <w:r w:rsidRPr="00BF165D">
        <w:rPr>
          <w:rFonts w:ascii="Times New Roman" w:hAnsi="Times New Roman"/>
          <w:sz w:val="26"/>
          <w:szCs w:val="26"/>
        </w:rPr>
        <w:t xml:space="preserve"> </w:t>
      </w:r>
      <w:r w:rsidRPr="00BF165D">
        <w:rPr>
          <w:rFonts w:ascii="Times New Roman" w:hAnsi="Times New Roman"/>
          <w:sz w:val="26"/>
          <w:szCs w:val="26"/>
          <w:lang w:eastAsia="x-none"/>
        </w:rPr>
        <w:t>спорта и молодежной политики Мурманской области, Управление Федеральной антимонопольной службы по Мурманской области, ГАУМО «Центр спортивной подготовки».</w:t>
      </w:r>
    </w:p>
    <w:p w:rsidR="00F72684" w:rsidRPr="00BD6095" w:rsidRDefault="00F72684" w:rsidP="00F72684">
      <w:pPr>
        <w:spacing w:before="120" w:after="0" w:line="240" w:lineRule="auto"/>
        <w:ind w:firstLine="709"/>
        <w:jc w:val="both"/>
        <w:rPr>
          <w:rFonts w:ascii="Times New Roman" w:hAnsi="Times New Roman"/>
          <w:i/>
          <w:sz w:val="26"/>
          <w:szCs w:val="26"/>
        </w:rPr>
      </w:pPr>
      <w:r w:rsidRPr="002C49D3">
        <w:rPr>
          <w:rFonts w:ascii="Times New Roman" w:hAnsi="Times New Roman"/>
          <w:b/>
          <w:sz w:val="26"/>
          <w:szCs w:val="26"/>
        </w:rPr>
        <w:t>3.2.</w:t>
      </w:r>
      <w:r w:rsidRPr="00BD6095">
        <w:rPr>
          <w:rFonts w:ascii="Times New Roman" w:hAnsi="Times New Roman"/>
          <w:sz w:val="26"/>
          <w:szCs w:val="26"/>
        </w:rPr>
        <w:t xml:space="preserve"> По результатам контрольного мероприятия </w:t>
      </w:r>
      <w:r w:rsidRPr="00BD6095">
        <w:rPr>
          <w:rFonts w:ascii="Times New Roman" w:hAnsi="Times New Roman"/>
          <w:b/>
          <w:sz w:val="26"/>
          <w:szCs w:val="26"/>
        </w:rPr>
        <w:t xml:space="preserve">«Проверка законности и результативности (эффективности и экономности) использования средств областного бюджета, предоставленных в 2018 году и истекшем периоде 2019 года отдельным некоммерческим организациям на развитие и поддержку в сфере </w:t>
      </w:r>
      <w:proofErr w:type="spellStart"/>
      <w:r w:rsidRPr="00BD6095">
        <w:rPr>
          <w:rFonts w:ascii="Times New Roman" w:hAnsi="Times New Roman"/>
          <w:b/>
          <w:sz w:val="26"/>
          <w:szCs w:val="26"/>
        </w:rPr>
        <w:t>конгрессно</w:t>
      </w:r>
      <w:proofErr w:type="spellEnd"/>
      <w:r w:rsidRPr="00BD6095">
        <w:rPr>
          <w:rFonts w:ascii="Times New Roman" w:hAnsi="Times New Roman"/>
          <w:b/>
          <w:sz w:val="26"/>
          <w:szCs w:val="26"/>
        </w:rPr>
        <w:t>-выставочной деятельности»</w:t>
      </w:r>
      <w:r w:rsidRPr="00BD6095">
        <w:rPr>
          <w:rFonts w:ascii="Times New Roman" w:hAnsi="Times New Roman"/>
          <w:sz w:val="26"/>
          <w:szCs w:val="26"/>
        </w:rPr>
        <w:t xml:space="preserve"> установлено следующее.</w:t>
      </w:r>
      <w:r w:rsidRPr="00BD6095">
        <w:rPr>
          <w:rFonts w:ascii="Times New Roman" w:hAnsi="Times New Roman"/>
          <w:i/>
          <w:sz w:val="26"/>
          <w:szCs w:val="26"/>
        </w:rPr>
        <w:t xml:space="preserve">  </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Сфера </w:t>
      </w:r>
      <w:proofErr w:type="spellStart"/>
      <w:r w:rsidRPr="009A4A9A">
        <w:rPr>
          <w:rFonts w:ascii="Times New Roman" w:hAnsi="Times New Roman"/>
          <w:sz w:val="26"/>
          <w:szCs w:val="26"/>
          <w:lang w:eastAsia="en-US"/>
        </w:rPr>
        <w:t>конгрессно</w:t>
      </w:r>
      <w:proofErr w:type="spellEnd"/>
      <w:r w:rsidRPr="009A4A9A">
        <w:rPr>
          <w:rFonts w:ascii="Times New Roman" w:hAnsi="Times New Roman"/>
          <w:sz w:val="26"/>
          <w:szCs w:val="26"/>
          <w:lang w:eastAsia="en-US"/>
        </w:rPr>
        <w:t xml:space="preserve">-выставочной деятельности, включая виды и формы оказания государственной поддержки, не регулируется федеральным законодательством и законодательством Мурманской области. </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Мурманская область, являющаяся в лице Министерства имущественных отношений Мурманской области единственным акционером АО «Корпорация развития Мурманской области», создавшего АНО «</w:t>
      </w:r>
      <w:proofErr w:type="spellStart"/>
      <w:r w:rsidRPr="009A4A9A">
        <w:rPr>
          <w:rFonts w:ascii="Times New Roman" w:hAnsi="Times New Roman"/>
          <w:sz w:val="26"/>
          <w:szCs w:val="26"/>
          <w:lang w:eastAsia="en-US"/>
        </w:rPr>
        <w:t>Мурманконгресс</w:t>
      </w:r>
      <w:proofErr w:type="spellEnd"/>
      <w:r w:rsidRPr="009A4A9A">
        <w:rPr>
          <w:rFonts w:ascii="Times New Roman" w:hAnsi="Times New Roman"/>
          <w:sz w:val="26"/>
          <w:szCs w:val="26"/>
          <w:lang w:eastAsia="en-US"/>
        </w:rPr>
        <w:t>», является аффилированным лицом по отношению к данной автономной некоммерческой организации.</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В областном бюджете в рамках финансирования государственной программы «Развитие экономического потенциала и формирование благоприятного предпринимательского климата» предусмотрены бюджетные ассигнования на предоставление субсидий АНО «</w:t>
      </w:r>
      <w:proofErr w:type="spellStart"/>
      <w:r w:rsidRPr="009A4A9A">
        <w:rPr>
          <w:rFonts w:ascii="Times New Roman" w:hAnsi="Times New Roman"/>
          <w:sz w:val="26"/>
          <w:szCs w:val="26"/>
          <w:lang w:eastAsia="en-US"/>
        </w:rPr>
        <w:t>Мурманконгресс</w:t>
      </w:r>
      <w:proofErr w:type="spellEnd"/>
      <w:r w:rsidRPr="009A4A9A">
        <w:rPr>
          <w:rFonts w:ascii="Times New Roman" w:hAnsi="Times New Roman"/>
          <w:sz w:val="26"/>
          <w:szCs w:val="26"/>
          <w:lang w:eastAsia="en-US"/>
        </w:rPr>
        <w:t xml:space="preserve">» в целях финансового обеспечения затрат в сфере </w:t>
      </w:r>
      <w:proofErr w:type="spellStart"/>
      <w:r w:rsidRPr="009A4A9A">
        <w:rPr>
          <w:rFonts w:ascii="Times New Roman" w:hAnsi="Times New Roman"/>
          <w:sz w:val="26"/>
          <w:szCs w:val="26"/>
          <w:lang w:eastAsia="en-US"/>
        </w:rPr>
        <w:t>конгрессно</w:t>
      </w:r>
      <w:proofErr w:type="spellEnd"/>
      <w:r w:rsidRPr="009A4A9A">
        <w:rPr>
          <w:rFonts w:ascii="Times New Roman" w:hAnsi="Times New Roman"/>
          <w:sz w:val="26"/>
          <w:szCs w:val="26"/>
          <w:lang w:eastAsia="en-US"/>
        </w:rPr>
        <w:t>-выставочной деятельности:</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на 2018 год на общую сумму 3 000,1 тыс. рублей</w:t>
      </w:r>
      <w:r w:rsidR="00A06CC3">
        <w:rPr>
          <w:rFonts w:ascii="Times New Roman" w:hAnsi="Times New Roman"/>
          <w:sz w:val="26"/>
          <w:szCs w:val="26"/>
          <w:lang w:eastAsia="en-US"/>
        </w:rPr>
        <w:t>;</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по состоянию на 1 октября 2019 год на общую сумму 4 450,1 тыс. рублей.</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Дать оценку обоснованности и достаточности бюджетных ассигнований на предоставление субсидий некоммерческой организации на финансовое обеспечение затрат в сфере </w:t>
      </w:r>
      <w:proofErr w:type="spellStart"/>
      <w:r w:rsidRPr="009A4A9A">
        <w:rPr>
          <w:rFonts w:ascii="Times New Roman" w:hAnsi="Times New Roman"/>
          <w:sz w:val="26"/>
          <w:szCs w:val="26"/>
          <w:lang w:eastAsia="en-US"/>
        </w:rPr>
        <w:t>конгрессно</w:t>
      </w:r>
      <w:proofErr w:type="spellEnd"/>
      <w:r w:rsidRPr="009A4A9A">
        <w:rPr>
          <w:rFonts w:ascii="Times New Roman" w:hAnsi="Times New Roman"/>
          <w:sz w:val="26"/>
          <w:szCs w:val="26"/>
          <w:lang w:eastAsia="en-US"/>
        </w:rPr>
        <w:t>-выставочной деятельности не представляется возможным в связи с отсутствием конкретных положений и норм необходимых для формирования расходов на предоставление субсидий некоммерческим организациям в Порядке и методике планирования бюджетных ассигнований областного бюджета, утвержденные приказом Министерства финансов Мурманской области от 9 июня 2012 года № 99Н (с изменениями и дополнениями).</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lastRenderedPageBreak/>
        <w:t>В ходе выборочной проверки соблюдения условий и требований, предъявляемых к получателю субсидий, нарушений не установлено.</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В 2018 году расходование субсидии осуществлялось получателем на организацию и проведение пленарного заседания Мурманской международной деловой недели с участием бизнес-сообщества, руководителей и ответственных представителей органов государственной власти по перечню направлений затрат и в соответствии с предельным размером, подлежащим финансированию Министерством экономического развития Мурманской области согласно «Порядку определения объема и предоставления субсидии АНО «</w:t>
      </w:r>
      <w:proofErr w:type="spellStart"/>
      <w:r w:rsidRPr="009A4A9A">
        <w:rPr>
          <w:rFonts w:ascii="Times New Roman" w:hAnsi="Times New Roman"/>
          <w:sz w:val="26"/>
          <w:szCs w:val="26"/>
          <w:lang w:eastAsia="en-US"/>
        </w:rPr>
        <w:t>Мурманконгресс</w:t>
      </w:r>
      <w:proofErr w:type="spellEnd"/>
      <w:r w:rsidRPr="009A4A9A">
        <w:rPr>
          <w:rFonts w:ascii="Times New Roman" w:hAnsi="Times New Roman"/>
          <w:sz w:val="26"/>
          <w:szCs w:val="26"/>
          <w:lang w:eastAsia="en-US"/>
        </w:rPr>
        <w:t>», утвержденному постановлением Правительства Мурманской области от 08 августа 2018 года № 372-ПП.</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По состоянию на 1 октября 2019 года бюджетные ассигнования, предусмотренные в областном бюджете на 2019 год, на предоставление субсидии АНО «</w:t>
      </w:r>
      <w:proofErr w:type="spellStart"/>
      <w:r w:rsidRPr="009A4A9A">
        <w:rPr>
          <w:rFonts w:ascii="Times New Roman" w:hAnsi="Times New Roman"/>
          <w:sz w:val="26"/>
          <w:szCs w:val="26"/>
          <w:lang w:eastAsia="en-US"/>
        </w:rPr>
        <w:t>Мурманконгресс</w:t>
      </w:r>
      <w:proofErr w:type="spellEnd"/>
      <w:r w:rsidRPr="009A4A9A">
        <w:rPr>
          <w:rFonts w:ascii="Times New Roman" w:hAnsi="Times New Roman"/>
          <w:sz w:val="26"/>
          <w:szCs w:val="26"/>
          <w:lang w:eastAsia="en-US"/>
        </w:rPr>
        <w:t>» не исполнены в полном объеме в сумме 1 530,0 тыс. рублей.</w:t>
      </w:r>
    </w:p>
    <w:p w:rsidR="00F72684" w:rsidRPr="009A4A9A" w:rsidRDefault="00F72684" w:rsidP="00F72684">
      <w:pPr>
        <w:spacing w:before="120"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Расходование субсидии, подлежащей финансированию Министерством развития промышленности и предпринимательства Мурманской области, осуществлялось получателем на цели предоставления и по перечню направлений затрат согласно «Порядку определения объема и предоставления субсидии АНО «</w:t>
      </w:r>
      <w:proofErr w:type="spellStart"/>
      <w:r w:rsidRPr="009A4A9A">
        <w:rPr>
          <w:rFonts w:ascii="Times New Roman" w:hAnsi="Times New Roman"/>
          <w:sz w:val="26"/>
          <w:szCs w:val="26"/>
          <w:lang w:eastAsia="en-US"/>
        </w:rPr>
        <w:t>Мурманконгресс</w:t>
      </w:r>
      <w:proofErr w:type="spellEnd"/>
      <w:r w:rsidRPr="009A4A9A">
        <w:rPr>
          <w:rFonts w:ascii="Times New Roman" w:hAnsi="Times New Roman"/>
          <w:sz w:val="26"/>
          <w:szCs w:val="26"/>
          <w:lang w:eastAsia="en-US"/>
        </w:rPr>
        <w:t>», утвержденному постановлением Правительства Мурманской области от 18 сентября 2018 года № 434-ПП.</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Так в 2018 году расходование субсидии на общую сумму 1 111,6 тыс. рублей осуществлялось на организацию и проведение следующих мероприятий:</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для предпринимателей в рамках Дней инноваций Мурманской области в сумме 410,5 тыс. рублей;</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в сфере развития туризма, в том числе туристической площадки «Сделано в Арктике» в сумме 249,8 тыс. рублей;</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стратегической сессии по ключевым направлениям развития Мурманской области в сумме 146,0 тыс. рублей;</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для предпринимателей в рамках Мурманской международной деловой недели в сумме 98,5 тыс. рублей;</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в рамках Мурманской международной деловой недели (с участием представителей федеральных органов власти) в сумме 206,8 тыс. рублей.</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По состоянию на 1 октября 2019 года субсидия израсходована на общую </w:t>
      </w:r>
      <w:proofErr w:type="gramStart"/>
      <w:r w:rsidRPr="009A4A9A">
        <w:rPr>
          <w:rFonts w:ascii="Times New Roman" w:hAnsi="Times New Roman"/>
          <w:sz w:val="26"/>
          <w:szCs w:val="26"/>
          <w:lang w:eastAsia="en-US"/>
        </w:rPr>
        <w:t>сумму  2</w:t>
      </w:r>
      <w:proofErr w:type="gramEnd"/>
      <w:r w:rsidRPr="009A4A9A">
        <w:rPr>
          <w:rFonts w:ascii="Times New Roman" w:hAnsi="Times New Roman"/>
          <w:sz w:val="26"/>
          <w:szCs w:val="26"/>
          <w:lang w:eastAsia="en-US"/>
        </w:rPr>
        <w:t xml:space="preserve"> 673,7 тыс. рублей на организацию и проведение следующих мероприятий:</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«I Международного женского форума за полярным кругом» в сумме 1 591,3 тыс. рублей;</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еженедельной рыбной выставки-ярмарки «Наша рыба» в сумме 978,8 тыс. рублей;</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стратегической сессии по ключевым направлениям развития Мурманской области в сумме 93,6 тыс. рублей.</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В вышеуказанных «Порядках определения объема и предоставления субсидии АНО «</w:t>
      </w:r>
      <w:proofErr w:type="spellStart"/>
      <w:r w:rsidRPr="009A4A9A">
        <w:rPr>
          <w:rFonts w:ascii="Times New Roman" w:hAnsi="Times New Roman"/>
          <w:sz w:val="26"/>
          <w:szCs w:val="26"/>
          <w:lang w:eastAsia="en-US"/>
        </w:rPr>
        <w:t>Мурманконгресс</w:t>
      </w:r>
      <w:proofErr w:type="spellEnd"/>
      <w:r w:rsidRPr="009A4A9A">
        <w:rPr>
          <w:rFonts w:ascii="Times New Roman" w:hAnsi="Times New Roman"/>
          <w:sz w:val="26"/>
          <w:szCs w:val="26"/>
          <w:lang w:eastAsia="en-US"/>
        </w:rPr>
        <w:t xml:space="preserve">» не определены нормативы финансового обеспечения затрат и (или) нормы расходов на проведение </w:t>
      </w:r>
      <w:proofErr w:type="spellStart"/>
      <w:r w:rsidRPr="009A4A9A">
        <w:rPr>
          <w:rFonts w:ascii="Times New Roman" w:hAnsi="Times New Roman"/>
          <w:sz w:val="26"/>
          <w:szCs w:val="26"/>
          <w:lang w:eastAsia="en-US"/>
        </w:rPr>
        <w:t>конгрессно</w:t>
      </w:r>
      <w:proofErr w:type="spellEnd"/>
      <w:r w:rsidRPr="009A4A9A">
        <w:rPr>
          <w:rFonts w:ascii="Times New Roman" w:hAnsi="Times New Roman"/>
          <w:sz w:val="26"/>
          <w:szCs w:val="26"/>
          <w:lang w:eastAsia="en-US"/>
        </w:rPr>
        <w:t>-выставочных мероприятий, в том числе предусматривающие питание (кейтеринг) участников мероприятий, приобретение и (или) изготовление сувенирной продукции, оплату услуг экспертов и т.п.</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lastRenderedPageBreak/>
        <w:t>Так, например, в рамках проведения мероприятия «I Международный женский форум за полярным кругом» наиболее крупные затраты составили:</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на организацию кейтеринга в сумме 469,1 тыс. рублей, или 29,5 % от общей суммы </w:t>
      </w:r>
      <w:proofErr w:type="gramStart"/>
      <w:r w:rsidR="00F72684" w:rsidRPr="009A4A9A">
        <w:rPr>
          <w:rFonts w:ascii="Times New Roman" w:hAnsi="Times New Roman"/>
          <w:sz w:val="26"/>
          <w:szCs w:val="26"/>
          <w:lang w:eastAsia="en-US"/>
        </w:rPr>
        <w:t>субсидии</w:t>
      </w:r>
      <w:proofErr w:type="gramEnd"/>
      <w:r w:rsidR="00F72684" w:rsidRPr="009A4A9A">
        <w:rPr>
          <w:rFonts w:ascii="Times New Roman" w:hAnsi="Times New Roman"/>
          <w:sz w:val="26"/>
          <w:szCs w:val="26"/>
          <w:lang w:eastAsia="en-US"/>
        </w:rPr>
        <w:t xml:space="preserve"> предоставленной на проведение данного мероприятия, что в среднем на 1 участника мероприятия составило 2,5 тыс. рублей;</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на приобретение, изготовление сувенирной продукции в сумме 379,0 тыс. рублей, или 23,8 % от общей суммы </w:t>
      </w:r>
      <w:proofErr w:type="gramStart"/>
      <w:r w:rsidR="00F72684" w:rsidRPr="009A4A9A">
        <w:rPr>
          <w:rFonts w:ascii="Times New Roman" w:hAnsi="Times New Roman"/>
          <w:sz w:val="26"/>
          <w:szCs w:val="26"/>
          <w:lang w:eastAsia="en-US"/>
        </w:rPr>
        <w:t>субсидии</w:t>
      </w:r>
      <w:proofErr w:type="gramEnd"/>
      <w:r w:rsidR="00F72684" w:rsidRPr="009A4A9A">
        <w:rPr>
          <w:rFonts w:ascii="Times New Roman" w:hAnsi="Times New Roman"/>
          <w:sz w:val="26"/>
          <w:szCs w:val="26"/>
          <w:lang w:eastAsia="en-US"/>
        </w:rPr>
        <w:t xml:space="preserve"> предоставленной на проведение данного мероприятия;</w:t>
      </w:r>
    </w:p>
    <w:p w:rsidR="00F72684" w:rsidRPr="009A4A9A" w:rsidRDefault="00903D59" w:rsidP="00F72684">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F72684" w:rsidRPr="009A4A9A">
        <w:rPr>
          <w:rFonts w:ascii="Times New Roman" w:hAnsi="Times New Roman"/>
          <w:sz w:val="26"/>
          <w:szCs w:val="26"/>
          <w:lang w:eastAsia="en-US"/>
        </w:rPr>
        <w:t xml:space="preserve"> на оплату услуг привлекаемых экспертов в сумме 239,4 тыс. рублей, или </w:t>
      </w:r>
      <w:r>
        <w:rPr>
          <w:rFonts w:ascii="Times New Roman" w:hAnsi="Times New Roman"/>
          <w:sz w:val="26"/>
          <w:szCs w:val="26"/>
          <w:lang w:eastAsia="en-US"/>
        </w:rPr>
        <w:t xml:space="preserve"> </w:t>
      </w:r>
      <w:r w:rsidR="00BB3CD5">
        <w:rPr>
          <w:rFonts w:ascii="Times New Roman" w:hAnsi="Times New Roman"/>
          <w:sz w:val="26"/>
          <w:szCs w:val="26"/>
          <w:lang w:eastAsia="en-US"/>
        </w:rPr>
        <w:t xml:space="preserve">     </w:t>
      </w:r>
      <w:r>
        <w:rPr>
          <w:rFonts w:ascii="Times New Roman" w:hAnsi="Times New Roman"/>
          <w:sz w:val="26"/>
          <w:szCs w:val="26"/>
          <w:lang w:eastAsia="en-US"/>
        </w:rPr>
        <w:t xml:space="preserve"> </w:t>
      </w:r>
      <w:r w:rsidR="00F72684" w:rsidRPr="009A4A9A">
        <w:rPr>
          <w:rFonts w:ascii="Times New Roman" w:hAnsi="Times New Roman"/>
          <w:sz w:val="26"/>
          <w:szCs w:val="26"/>
          <w:lang w:eastAsia="en-US"/>
        </w:rPr>
        <w:t xml:space="preserve">15,0 % от общей суммы </w:t>
      </w:r>
      <w:proofErr w:type="gramStart"/>
      <w:r w:rsidR="00F72684" w:rsidRPr="009A4A9A">
        <w:rPr>
          <w:rFonts w:ascii="Times New Roman" w:hAnsi="Times New Roman"/>
          <w:sz w:val="26"/>
          <w:szCs w:val="26"/>
          <w:lang w:eastAsia="en-US"/>
        </w:rPr>
        <w:t>субсидии</w:t>
      </w:r>
      <w:proofErr w:type="gramEnd"/>
      <w:r w:rsidR="00F72684" w:rsidRPr="009A4A9A">
        <w:rPr>
          <w:rFonts w:ascii="Times New Roman" w:hAnsi="Times New Roman"/>
          <w:sz w:val="26"/>
          <w:szCs w:val="26"/>
          <w:lang w:eastAsia="en-US"/>
        </w:rPr>
        <w:t xml:space="preserve"> предоставленной на проведение данного мероприятия.</w:t>
      </w:r>
    </w:p>
    <w:p w:rsidR="00F72684" w:rsidRPr="009A4A9A" w:rsidRDefault="00F72684" w:rsidP="00F72684">
      <w:pPr>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Отсутствие утвержденных нормативов финансового обеспечения затрат на организацию и проведение </w:t>
      </w:r>
      <w:proofErr w:type="spellStart"/>
      <w:r w:rsidRPr="009A4A9A">
        <w:rPr>
          <w:rFonts w:ascii="Times New Roman" w:hAnsi="Times New Roman"/>
          <w:sz w:val="26"/>
          <w:szCs w:val="26"/>
          <w:lang w:eastAsia="en-US"/>
        </w:rPr>
        <w:t>конгрессно</w:t>
      </w:r>
      <w:proofErr w:type="spellEnd"/>
      <w:r w:rsidRPr="009A4A9A">
        <w:rPr>
          <w:rFonts w:ascii="Times New Roman" w:hAnsi="Times New Roman"/>
          <w:sz w:val="26"/>
          <w:szCs w:val="26"/>
          <w:lang w:eastAsia="en-US"/>
        </w:rPr>
        <w:t>-выставочных мероприятий в установленных сферах деятельности исполнительных органов государственной власти Мурманской области не способствует эффективному и экономному использованию средств областного бюджета, а также не позволяет сделать вывод о соблюдении принципа эффективности использования бюджетных средств, установленного статьей 34 Бюджетного кодекса РФ.</w:t>
      </w:r>
    </w:p>
    <w:p w:rsidR="00753287" w:rsidRPr="005167AD" w:rsidRDefault="008B6853" w:rsidP="000C0E65">
      <w:pPr>
        <w:keepNext/>
        <w:spacing w:before="240" w:after="60" w:line="240" w:lineRule="auto"/>
        <w:jc w:val="center"/>
        <w:outlineLvl w:val="2"/>
        <w:rPr>
          <w:rFonts w:ascii="Times New Roman" w:hAnsi="Times New Roman" w:cs="Arial"/>
          <w:b/>
          <w:bCs/>
          <w:sz w:val="26"/>
          <w:szCs w:val="26"/>
        </w:rPr>
      </w:pPr>
      <w:r w:rsidRPr="005167AD">
        <w:rPr>
          <w:rFonts w:ascii="Times New Roman" w:hAnsi="Times New Roman" w:cs="Arial"/>
          <w:b/>
          <w:bCs/>
          <w:sz w:val="26"/>
          <w:szCs w:val="26"/>
        </w:rPr>
        <w:t>4</w:t>
      </w:r>
      <w:r w:rsidR="00753287" w:rsidRPr="005167AD">
        <w:rPr>
          <w:rFonts w:ascii="Times New Roman" w:hAnsi="Times New Roman" w:cs="Arial"/>
          <w:b/>
          <w:bCs/>
          <w:sz w:val="26"/>
          <w:szCs w:val="26"/>
        </w:rPr>
        <w:t>. Основные результаты проверок использования средств областного бюджета, на реализацию отдельных мероприятий государственных программ</w:t>
      </w:r>
    </w:p>
    <w:p w:rsidR="00753287" w:rsidRPr="00BF165D" w:rsidRDefault="008B6853" w:rsidP="003F1FA1">
      <w:pPr>
        <w:tabs>
          <w:tab w:val="left" w:pos="284"/>
        </w:tabs>
        <w:suppressAutoHyphens/>
        <w:spacing w:after="0" w:line="240" w:lineRule="auto"/>
        <w:ind w:firstLine="709"/>
        <w:jc w:val="both"/>
        <w:rPr>
          <w:rFonts w:ascii="Times New Roman" w:hAnsi="Times New Roman"/>
          <w:sz w:val="26"/>
          <w:szCs w:val="26"/>
          <w:lang w:eastAsia="x-none"/>
        </w:rPr>
      </w:pPr>
      <w:r w:rsidRPr="002C49D3">
        <w:rPr>
          <w:rFonts w:ascii="Times New Roman" w:hAnsi="Times New Roman"/>
          <w:b/>
          <w:sz w:val="26"/>
          <w:szCs w:val="26"/>
          <w:lang w:eastAsia="x-none"/>
        </w:rPr>
        <w:t>4</w:t>
      </w:r>
      <w:r w:rsidR="00226908" w:rsidRPr="002C49D3">
        <w:rPr>
          <w:rFonts w:ascii="Times New Roman" w:hAnsi="Times New Roman"/>
          <w:b/>
          <w:sz w:val="26"/>
          <w:szCs w:val="26"/>
          <w:lang w:eastAsia="x-none"/>
        </w:rPr>
        <w:t>.1.</w:t>
      </w:r>
      <w:r w:rsidR="00226908" w:rsidRPr="00BF165D">
        <w:rPr>
          <w:rFonts w:ascii="Times New Roman" w:hAnsi="Times New Roman"/>
          <w:sz w:val="26"/>
          <w:szCs w:val="26"/>
          <w:lang w:eastAsia="x-none"/>
        </w:rPr>
        <w:t xml:space="preserve"> </w:t>
      </w:r>
      <w:r w:rsidR="00753287" w:rsidRPr="00BF165D">
        <w:rPr>
          <w:rFonts w:ascii="Times New Roman" w:hAnsi="Times New Roman"/>
          <w:sz w:val="26"/>
          <w:szCs w:val="26"/>
          <w:lang w:eastAsia="x-none"/>
        </w:rPr>
        <w:t xml:space="preserve">В ходе контрольного мероприятия </w:t>
      </w:r>
      <w:r w:rsidR="00753287" w:rsidRPr="00BF165D">
        <w:rPr>
          <w:rFonts w:ascii="Times New Roman" w:hAnsi="Times New Roman"/>
          <w:b/>
          <w:bCs/>
          <w:sz w:val="26"/>
          <w:szCs w:val="26"/>
          <w:lang w:eastAsia="x-none"/>
        </w:rPr>
        <w:t>«Проверка законности и результативности использования средств областного бюджета, выделенных в 2017 – 2018 годах на реализацию проектов по поддержке местных инициатив в рамках государственной программы Мурманской области «Государственное управление и гражданское общество» (совместно с Контрольно-ревизионной комиссией г. Полярные Зори и Контрольно-счетной палатой г. Оленегорска)</w:t>
      </w:r>
      <w:r w:rsidR="00753287" w:rsidRPr="00BF165D">
        <w:rPr>
          <w:rFonts w:ascii="Times New Roman" w:hAnsi="Times New Roman"/>
          <w:sz w:val="26"/>
          <w:szCs w:val="26"/>
          <w:lang w:eastAsia="x-none"/>
        </w:rPr>
        <w:t>, установлено следующее.</w:t>
      </w:r>
    </w:p>
    <w:p w:rsidR="00753287" w:rsidRPr="00BF165D" w:rsidRDefault="00753287" w:rsidP="003F1FA1">
      <w:pPr>
        <w:tabs>
          <w:tab w:val="left" w:pos="284"/>
        </w:tabs>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 xml:space="preserve">В проверяемом периоде расходы областного бюджета на </w:t>
      </w:r>
      <w:proofErr w:type="spellStart"/>
      <w:r w:rsidRPr="00BF165D">
        <w:rPr>
          <w:rFonts w:ascii="Times New Roman" w:hAnsi="Times New Roman"/>
          <w:sz w:val="26"/>
          <w:szCs w:val="26"/>
          <w:lang w:eastAsia="x-none"/>
        </w:rPr>
        <w:t>софинансирование</w:t>
      </w:r>
      <w:proofErr w:type="spellEnd"/>
      <w:r w:rsidRPr="00BF165D">
        <w:rPr>
          <w:rFonts w:ascii="Times New Roman" w:hAnsi="Times New Roman"/>
          <w:sz w:val="26"/>
          <w:szCs w:val="26"/>
          <w:lang w:eastAsia="x-none"/>
        </w:rPr>
        <w:t xml:space="preserve"> расходных обязательств муниципальных образований, возникающих при выполнении полномочий органов местного самоуправления по решению вопросов местного значения, в целях поддержки проектов местных инициатив по развитию и ремонту общественной инфраструктуры муниципальных образований, составили: в 2017 году – 21 890,4 тыс. рублей, в 2018 году – 27 708,9 тыс. рублей, что в целом составило 63,8 % и 58,9 % от общего объема финансового обеспечения расходных обязательств муниципальных образований.</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Субсидии из областного бюджета предоставлены:</w:t>
      </w:r>
    </w:p>
    <w:p w:rsidR="00753287" w:rsidRPr="00BF165D" w:rsidRDefault="00583FB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753287" w:rsidRPr="00BF165D">
        <w:rPr>
          <w:rFonts w:ascii="Times New Roman" w:hAnsi="Times New Roman"/>
          <w:sz w:val="26"/>
          <w:szCs w:val="26"/>
          <w:lang w:eastAsia="x-none"/>
        </w:rPr>
        <w:t>в 2017 году – 21 муниципальному образованию на реализацию 21 проекта по поддержке местных инициатив;</w:t>
      </w:r>
    </w:p>
    <w:p w:rsidR="00753287" w:rsidRPr="00BF165D" w:rsidRDefault="00583FB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753287" w:rsidRPr="00BF165D">
        <w:rPr>
          <w:rFonts w:ascii="Times New Roman" w:hAnsi="Times New Roman"/>
          <w:sz w:val="26"/>
          <w:szCs w:val="26"/>
          <w:lang w:eastAsia="x-none"/>
        </w:rPr>
        <w:t>в 2018 году – 27 муниципальным образованиям на реализацию 37 проектов по поддержке местных инициатив.</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 xml:space="preserve">Мероприятия по развитию и ремонту общественной инфраструктуры муниципальных образований реализованы в полном объеме с достижением показателей результативности, установленных муниципальными программами. Целевые показатели, установленные Соглашениями выполнены муниципальными образованиями на 100 %, за исключением (в 2018 году) ЗАТО Александровск, городское поселение Туманный Кольского района, сельское поселение Ловозеро </w:t>
      </w:r>
      <w:proofErr w:type="spellStart"/>
      <w:r w:rsidRPr="00BF165D">
        <w:rPr>
          <w:rFonts w:ascii="Times New Roman" w:hAnsi="Times New Roman"/>
          <w:sz w:val="26"/>
          <w:szCs w:val="26"/>
          <w:lang w:eastAsia="x-none"/>
        </w:rPr>
        <w:t>Ловозерского</w:t>
      </w:r>
      <w:proofErr w:type="spellEnd"/>
      <w:r w:rsidRPr="00BF165D">
        <w:rPr>
          <w:rFonts w:ascii="Times New Roman" w:hAnsi="Times New Roman"/>
          <w:sz w:val="26"/>
          <w:szCs w:val="26"/>
          <w:lang w:eastAsia="x-none"/>
        </w:rPr>
        <w:t xml:space="preserve"> района.</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lastRenderedPageBreak/>
        <w:t xml:space="preserve">В ходе осмотра объектов (выборочно) общественной инфраструктуры  муниципальных образований, на развитие и ремонт которых направлялось </w:t>
      </w:r>
      <w:proofErr w:type="spellStart"/>
      <w:r w:rsidRPr="00BF165D">
        <w:rPr>
          <w:rFonts w:ascii="Times New Roman" w:hAnsi="Times New Roman"/>
          <w:sz w:val="26"/>
          <w:szCs w:val="26"/>
          <w:lang w:eastAsia="x-none"/>
        </w:rPr>
        <w:t>софинансирование</w:t>
      </w:r>
      <w:proofErr w:type="spellEnd"/>
      <w:r w:rsidRPr="00BF165D">
        <w:rPr>
          <w:rFonts w:ascii="Times New Roman" w:hAnsi="Times New Roman"/>
          <w:sz w:val="26"/>
          <w:szCs w:val="26"/>
          <w:lang w:eastAsia="x-none"/>
        </w:rPr>
        <w:t xml:space="preserve"> из областного бюджета, установлено, что фактически выполненные работы и поставленное оборудование соответствуют работам, перечисленным в актах выполненных работ, фактически поставленный товар соответствует товару, указанному в спецификации к муниципальным контрактам, приобретенные техника и оборудование, а также перечень выполненных работ соответствуют проектам, представленным для участия в конкурсном отборе, и на реализацию которых предоставлена субсидия из областного бюджета. В тоже время выявлены факты, свидетельствующие: о снижении социально-экономической эффективности использования бюджетных средств в связи с тем, что не обеспечено круглогодичное использование объектов общественной инфраструктуры (</w:t>
      </w:r>
      <w:proofErr w:type="spellStart"/>
      <w:r w:rsidRPr="00BF165D">
        <w:rPr>
          <w:rFonts w:ascii="Times New Roman" w:hAnsi="Times New Roman"/>
          <w:sz w:val="26"/>
          <w:szCs w:val="26"/>
          <w:lang w:eastAsia="x-none"/>
        </w:rPr>
        <w:t>г.п</w:t>
      </w:r>
      <w:proofErr w:type="spellEnd"/>
      <w:r w:rsidRPr="00BF165D">
        <w:rPr>
          <w:rFonts w:ascii="Times New Roman" w:hAnsi="Times New Roman"/>
          <w:sz w:val="26"/>
          <w:szCs w:val="26"/>
          <w:lang w:eastAsia="x-none"/>
        </w:rPr>
        <w:t xml:space="preserve">. Ревда, </w:t>
      </w:r>
      <w:proofErr w:type="spellStart"/>
      <w:r w:rsidRPr="00BF165D">
        <w:rPr>
          <w:rFonts w:ascii="Times New Roman" w:hAnsi="Times New Roman"/>
          <w:sz w:val="26"/>
          <w:szCs w:val="26"/>
          <w:lang w:eastAsia="x-none"/>
        </w:rPr>
        <w:t>н.п</w:t>
      </w:r>
      <w:proofErr w:type="spellEnd"/>
      <w:r w:rsidRPr="00BF165D">
        <w:rPr>
          <w:rFonts w:ascii="Times New Roman" w:hAnsi="Times New Roman"/>
          <w:sz w:val="26"/>
          <w:szCs w:val="26"/>
          <w:lang w:eastAsia="x-none"/>
        </w:rPr>
        <w:t xml:space="preserve">. </w:t>
      </w:r>
      <w:proofErr w:type="spellStart"/>
      <w:r w:rsidRPr="00BF165D">
        <w:rPr>
          <w:rFonts w:ascii="Times New Roman" w:hAnsi="Times New Roman"/>
          <w:sz w:val="26"/>
          <w:szCs w:val="26"/>
          <w:lang w:eastAsia="x-none"/>
        </w:rPr>
        <w:t>Шонгуй</w:t>
      </w:r>
      <w:proofErr w:type="spellEnd"/>
      <w:r w:rsidRPr="00BF165D">
        <w:rPr>
          <w:rFonts w:ascii="Times New Roman" w:hAnsi="Times New Roman"/>
          <w:sz w:val="26"/>
          <w:szCs w:val="26"/>
          <w:lang w:eastAsia="x-none"/>
        </w:rPr>
        <w:t>, г. Полярные Зори); о неэффективном использовании и неиспользовании имущества, приобретенного в рамках проектов (</w:t>
      </w:r>
      <w:proofErr w:type="spellStart"/>
      <w:r w:rsidRPr="00BF165D">
        <w:rPr>
          <w:rFonts w:ascii="Times New Roman" w:hAnsi="Times New Roman"/>
          <w:sz w:val="26"/>
          <w:szCs w:val="26"/>
          <w:lang w:eastAsia="x-none"/>
        </w:rPr>
        <w:t>н.п</w:t>
      </w:r>
      <w:proofErr w:type="spellEnd"/>
      <w:r w:rsidRPr="00BF165D">
        <w:rPr>
          <w:rFonts w:ascii="Times New Roman" w:hAnsi="Times New Roman"/>
          <w:sz w:val="26"/>
          <w:szCs w:val="26"/>
          <w:lang w:eastAsia="x-none"/>
        </w:rPr>
        <w:t xml:space="preserve">. </w:t>
      </w:r>
      <w:proofErr w:type="spellStart"/>
      <w:r w:rsidRPr="00BF165D">
        <w:rPr>
          <w:rFonts w:ascii="Times New Roman" w:hAnsi="Times New Roman"/>
          <w:sz w:val="26"/>
          <w:szCs w:val="26"/>
          <w:lang w:eastAsia="x-none"/>
        </w:rPr>
        <w:t>Шонгуй</w:t>
      </w:r>
      <w:proofErr w:type="spellEnd"/>
      <w:r w:rsidRPr="00BF165D">
        <w:rPr>
          <w:rFonts w:ascii="Times New Roman" w:hAnsi="Times New Roman"/>
          <w:sz w:val="26"/>
          <w:szCs w:val="26"/>
          <w:lang w:eastAsia="x-none"/>
        </w:rPr>
        <w:t xml:space="preserve">, </w:t>
      </w:r>
      <w:proofErr w:type="spellStart"/>
      <w:r w:rsidRPr="00BF165D">
        <w:rPr>
          <w:rFonts w:ascii="Times New Roman" w:hAnsi="Times New Roman"/>
          <w:sz w:val="26"/>
          <w:szCs w:val="26"/>
          <w:lang w:eastAsia="x-none"/>
        </w:rPr>
        <w:t>с.п</w:t>
      </w:r>
      <w:proofErr w:type="spellEnd"/>
      <w:r w:rsidRPr="00BF165D">
        <w:rPr>
          <w:rFonts w:ascii="Times New Roman" w:hAnsi="Times New Roman"/>
          <w:sz w:val="26"/>
          <w:szCs w:val="26"/>
          <w:lang w:eastAsia="x-none"/>
        </w:rPr>
        <w:t>. Ловозеро), а также о неэффективном использовании бюджетных средств на сумму 1 313,4 тыс. рублей (</w:t>
      </w:r>
      <w:proofErr w:type="spellStart"/>
      <w:r w:rsidRPr="00BF165D">
        <w:rPr>
          <w:rFonts w:ascii="Times New Roman" w:hAnsi="Times New Roman"/>
          <w:sz w:val="26"/>
          <w:szCs w:val="26"/>
          <w:lang w:eastAsia="x-none"/>
        </w:rPr>
        <w:t>с.п</w:t>
      </w:r>
      <w:proofErr w:type="spellEnd"/>
      <w:r w:rsidRPr="00BF165D">
        <w:rPr>
          <w:rFonts w:ascii="Times New Roman" w:hAnsi="Times New Roman"/>
          <w:sz w:val="26"/>
          <w:szCs w:val="26"/>
          <w:lang w:eastAsia="x-none"/>
        </w:rPr>
        <w:t>. Ловозеро).</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В муниципальных программах выявлены недостатки установления показателей (индикаторов) результативности для отдельных мероприятий, не позволяющие оценить результативность их выполнения.</w:t>
      </w:r>
    </w:p>
    <w:p w:rsidR="004D4DCE" w:rsidRPr="00776431" w:rsidRDefault="004D4DCE" w:rsidP="004D4DCE">
      <w:pPr>
        <w:pStyle w:val="af6"/>
        <w:rPr>
          <w:rFonts w:eastAsia="Calibri"/>
        </w:rPr>
      </w:pPr>
      <w:r>
        <w:rPr>
          <w:rFonts w:eastAsia="Calibri"/>
        </w:rPr>
        <w:t>В ходе про</w:t>
      </w:r>
      <w:r w:rsidRPr="00776431">
        <w:rPr>
          <w:rFonts w:eastAsia="Calibri"/>
        </w:rPr>
        <w:t>верк</w:t>
      </w:r>
      <w:r>
        <w:rPr>
          <w:rFonts w:eastAsia="Calibri"/>
        </w:rPr>
        <w:t>и</w:t>
      </w:r>
      <w:r w:rsidRPr="00776431">
        <w:rPr>
          <w:rFonts w:eastAsia="Calibri"/>
        </w:rPr>
        <w:t xml:space="preserve"> соблюдения Правил предоставления и распределения субсидий из областного бюджета выявлены нарушения</w:t>
      </w:r>
      <w:r>
        <w:rPr>
          <w:rFonts w:eastAsia="Calibri"/>
        </w:rPr>
        <w:t xml:space="preserve"> в части определения </w:t>
      </w:r>
      <w:r w:rsidRPr="00776431">
        <w:rPr>
          <w:rFonts w:eastAsia="Calibri"/>
        </w:rPr>
        <w:t>размер</w:t>
      </w:r>
      <w:r>
        <w:rPr>
          <w:rFonts w:eastAsia="Calibri"/>
        </w:rPr>
        <w:t>а</w:t>
      </w:r>
      <w:r w:rsidRPr="00776431">
        <w:rPr>
          <w:rFonts w:eastAsia="Calibri"/>
        </w:rPr>
        <w:t xml:space="preserve"> субсиди</w:t>
      </w:r>
      <w:r>
        <w:rPr>
          <w:rFonts w:eastAsia="Calibri"/>
        </w:rPr>
        <w:t xml:space="preserve">й и заключения </w:t>
      </w:r>
      <w:r w:rsidRPr="00776431">
        <w:rPr>
          <w:rFonts w:eastAsia="Calibri"/>
        </w:rPr>
        <w:t>дополнительны</w:t>
      </w:r>
      <w:r>
        <w:rPr>
          <w:rFonts w:eastAsia="Calibri"/>
        </w:rPr>
        <w:t>х</w:t>
      </w:r>
      <w:r w:rsidRPr="00776431">
        <w:rPr>
          <w:rFonts w:eastAsia="Calibri"/>
        </w:rPr>
        <w:t xml:space="preserve"> соглашени</w:t>
      </w:r>
      <w:r>
        <w:rPr>
          <w:rFonts w:eastAsia="Calibri"/>
        </w:rPr>
        <w:t>й.</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По результатам контрольного мероприятия направлены информационные письма с предложениями в Правительство Мурманской области, Министерство по внутренней политике и массовым коммуникациям Мурманской области, администрации муниципальных образований.</w:t>
      </w:r>
    </w:p>
    <w:p w:rsidR="00BD6095" w:rsidRPr="00583FB9" w:rsidRDefault="00BD6095" w:rsidP="00753287">
      <w:pPr>
        <w:suppressAutoHyphens/>
        <w:spacing w:after="0" w:line="240" w:lineRule="auto"/>
        <w:ind w:firstLine="709"/>
        <w:jc w:val="both"/>
        <w:rPr>
          <w:rFonts w:ascii="Times New Roman" w:hAnsi="Times New Roman"/>
          <w:sz w:val="12"/>
          <w:szCs w:val="12"/>
          <w:lang w:eastAsia="x-none"/>
        </w:rPr>
      </w:pPr>
    </w:p>
    <w:p w:rsidR="00BD6095" w:rsidRPr="00BD6095" w:rsidRDefault="008B6853" w:rsidP="00BD6095">
      <w:pPr>
        <w:spacing w:before="120" w:after="0" w:line="240" w:lineRule="auto"/>
        <w:ind w:firstLine="709"/>
        <w:jc w:val="both"/>
        <w:rPr>
          <w:rFonts w:ascii="Times New Roman" w:hAnsi="Times New Roman"/>
          <w:sz w:val="26"/>
          <w:szCs w:val="26"/>
        </w:rPr>
      </w:pPr>
      <w:r w:rsidRPr="002C49D3">
        <w:rPr>
          <w:rFonts w:ascii="Times New Roman" w:hAnsi="Times New Roman"/>
          <w:b/>
          <w:sz w:val="26"/>
          <w:szCs w:val="26"/>
        </w:rPr>
        <w:t>4</w:t>
      </w:r>
      <w:r w:rsidR="00BD6095" w:rsidRPr="002C49D3">
        <w:rPr>
          <w:rFonts w:ascii="Times New Roman" w:hAnsi="Times New Roman"/>
          <w:b/>
          <w:sz w:val="26"/>
          <w:szCs w:val="26"/>
        </w:rPr>
        <w:t>.2.</w:t>
      </w:r>
      <w:r w:rsidR="00BD6095" w:rsidRPr="00BF165D">
        <w:rPr>
          <w:rFonts w:ascii="Times New Roman" w:hAnsi="Times New Roman"/>
          <w:sz w:val="26"/>
          <w:szCs w:val="26"/>
        </w:rPr>
        <w:t xml:space="preserve"> </w:t>
      </w:r>
      <w:r w:rsidR="00BD6095" w:rsidRPr="00BD6095">
        <w:rPr>
          <w:rFonts w:ascii="Times New Roman" w:hAnsi="Times New Roman"/>
          <w:sz w:val="26"/>
          <w:szCs w:val="26"/>
        </w:rPr>
        <w:t xml:space="preserve">По результатам контрольного мероприятия </w:t>
      </w:r>
      <w:r w:rsidR="00BD6095" w:rsidRPr="00BD6095">
        <w:rPr>
          <w:rFonts w:ascii="Times New Roman" w:hAnsi="Times New Roman"/>
          <w:b/>
          <w:sz w:val="26"/>
          <w:szCs w:val="26"/>
        </w:rPr>
        <w:t xml:space="preserve">«Проверка законности и результативности (эффективности и экономности) использования средств областного бюджета, предоставленных в 2018 году и истекшем периоде 2019 года муниципальным образованиям </w:t>
      </w:r>
      <w:proofErr w:type="spellStart"/>
      <w:r w:rsidR="00BD6095" w:rsidRPr="00BD6095">
        <w:rPr>
          <w:rFonts w:ascii="Times New Roman" w:hAnsi="Times New Roman"/>
          <w:b/>
          <w:sz w:val="26"/>
          <w:szCs w:val="26"/>
        </w:rPr>
        <w:t>Печенгского</w:t>
      </w:r>
      <w:proofErr w:type="spellEnd"/>
      <w:r w:rsidR="00BD6095" w:rsidRPr="00BD6095">
        <w:rPr>
          <w:rFonts w:ascii="Times New Roman" w:hAnsi="Times New Roman"/>
          <w:b/>
          <w:sz w:val="26"/>
          <w:szCs w:val="26"/>
        </w:rPr>
        <w:t xml:space="preserve"> района на реализацию отдельных мероприятий государственных программ Мурманской области «Обеспечение комфортной среды проживания населения региона» и «Формирование современной городской среды Мурманской области»</w:t>
      </w:r>
      <w:r w:rsidR="00BD6095" w:rsidRPr="00BD6095">
        <w:rPr>
          <w:rFonts w:ascii="Times New Roman" w:hAnsi="Times New Roman"/>
          <w:sz w:val="26"/>
          <w:szCs w:val="26"/>
        </w:rPr>
        <w:t xml:space="preserve"> </w:t>
      </w:r>
      <w:r w:rsidR="00BD6095" w:rsidRPr="00BD6095">
        <w:rPr>
          <w:rFonts w:ascii="Times New Roman" w:hAnsi="Times New Roman"/>
          <w:b/>
          <w:sz w:val="26"/>
          <w:szCs w:val="26"/>
        </w:rPr>
        <w:t>в сфере благоустройства»</w:t>
      </w:r>
      <w:r w:rsidR="00BD6095" w:rsidRPr="00BD6095">
        <w:rPr>
          <w:rFonts w:ascii="Times New Roman" w:hAnsi="Times New Roman"/>
          <w:sz w:val="26"/>
          <w:szCs w:val="26"/>
        </w:rPr>
        <w:t xml:space="preserve"> установлено следующее.  </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В целях </w:t>
      </w:r>
      <w:proofErr w:type="spellStart"/>
      <w:r w:rsidRPr="00BD6095">
        <w:rPr>
          <w:rFonts w:ascii="Times New Roman" w:hAnsi="Times New Roman"/>
          <w:sz w:val="26"/>
          <w:szCs w:val="26"/>
        </w:rPr>
        <w:t>софинансирования</w:t>
      </w:r>
      <w:proofErr w:type="spellEnd"/>
      <w:r w:rsidRPr="00BD6095">
        <w:rPr>
          <w:rFonts w:ascii="Times New Roman" w:hAnsi="Times New Roman"/>
          <w:sz w:val="26"/>
          <w:szCs w:val="26"/>
        </w:rPr>
        <w:t xml:space="preserve"> расходных обязательств муниципальных образований </w:t>
      </w:r>
      <w:proofErr w:type="spellStart"/>
      <w:r w:rsidRPr="00BD6095">
        <w:rPr>
          <w:rFonts w:ascii="Times New Roman" w:hAnsi="Times New Roman"/>
          <w:sz w:val="26"/>
          <w:szCs w:val="26"/>
        </w:rPr>
        <w:t>Печенгского</w:t>
      </w:r>
      <w:proofErr w:type="spellEnd"/>
      <w:r w:rsidRPr="00BD6095">
        <w:rPr>
          <w:rFonts w:ascii="Times New Roman" w:hAnsi="Times New Roman"/>
          <w:sz w:val="26"/>
          <w:szCs w:val="26"/>
        </w:rPr>
        <w:t xml:space="preserve"> района в сфере благоустройства из областного бюджета предоставлены межбюджетные субсидии:</w:t>
      </w:r>
    </w:p>
    <w:p w:rsidR="00BD6095" w:rsidRPr="00BD6095" w:rsidRDefault="00583FB9" w:rsidP="00BD6095">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D6095" w:rsidRPr="00BD6095">
        <w:rPr>
          <w:rFonts w:ascii="Times New Roman" w:hAnsi="Times New Roman"/>
          <w:sz w:val="26"/>
          <w:szCs w:val="26"/>
        </w:rPr>
        <w:t xml:space="preserve"> на поддержку муниципальных программ формирования современной городской среды:</w:t>
      </w:r>
    </w:p>
    <w:p w:rsidR="00BD6095" w:rsidRPr="00BD6095" w:rsidRDefault="00BD6095" w:rsidP="00BD6095">
      <w:pPr>
        <w:spacing w:before="40" w:after="0" w:line="240" w:lineRule="auto"/>
        <w:ind w:left="709" w:firstLine="567"/>
        <w:jc w:val="both"/>
        <w:rPr>
          <w:rFonts w:ascii="Times New Roman" w:hAnsi="Times New Roman"/>
          <w:sz w:val="26"/>
          <w:szCs w:val="26"/>
        </w:rPr>
      </w:pPr>
      <w:r w:rsidRPr="00BD6095">
        <w:rPr>
          <w:rFonts w:ascii="Times New Roman" w:hAnsi="Times New Roman"/>
          <w:sz w:val="26"/>
          <w:szCs w:val="26"/>
        </w:rPr>
        <w:t>- в 2018 году в сумме 16 063,5 тыс. рублей, что составляет 6,0 % общего объема межбюджетной субсидии, распределенной между 35 муниципальными образованиями Мурманской области;</w:t>
      </w:r>
    </w:p>
    <w:p w:rsidR="00BD6095" w:rsidRPr="00BD6095" w:rsidRDefault="00BD6095" w:rsidP="00BD6095">
      <w:pPr>
        <w:spacing w:before="40" w:after="0" w:line="240" w:lineRule="auto"/>
        <w:ind w:left="709" w:firstLine="567"/>
        <w:jc w:val="both"/>
        <w:rPr>
          <w:rFonts w:ascii="Times New Roman" w:hAnsi="Times New Roman"/>
          <w:sz w:val="26"/>
          <w:szCs w:val="26"/>
        </w:rPr>
      </w:pPr>
      <w:r w:rsidRPr="00BD6095">
        <w:rPr>
          <w:rFonts w:ascii="Times New Roman" w:hAnsi="Times New Roman"/>
          <w:sz w:val="26"/>
          <w:szCs w:val="26"/>
        </w:rPr>
        <w:t>- в 2019 году в сумме 20 718,8 тыс. рублей, что составляет 5,9 % общего объема межбюджетной субсидии, распределенной между 35 муниципальными образованиями Мурманской области</w:t>
      </w:r>
      <w:r w:rsidR="00583FB9">
        <w:rPr>
          <w:rFonts w:ascii="Times New Roman" w:hAnsi="Times New Roman"/>
          <w:sz w:val="26"/>
          <w:szCs w:val="26"/>
        </w:rPr>
        <w:t>;</w:t>
      </w:r>
    </w:p>
    <w:p w:rsidR="00BD6095" w:rsidRPr="00BD6095" w:rsidRDefault="00583FB9" w:rsidP="00BD6095">
      <w:pPr>
        <w:spacing w:before="40" w:after="0" w:line="240" w:lineRule="auto"/>
        <w:ind w:firstLine="709"/>
        <w:jc w:val="both"/>
        <w:rPr>
          <w:rFonts w:ascii="Times New Roman" w:hAnsi="Times New Roman"/>
          <w:sz w:val="26"/>
          <w:szCs w:val="26"/>
        </w:rPr>
      </w:pPr>
      <w:r>
        <w:rPr>
          <w:rFonts w:ascii="Times New Roman" w:hAnsi="Times New Roman"/>
          <w:sz w:val="26"/>
          <w:szCs w:val="26"/>
        </w:rPr>
        <w:lastRenderedPageBreak/>
        <w:sym w:font="Symbol" w:char="F0B7"/>
      </w:r>
      <w:r w:rsidR="00BD6095" w:rsidRPr="00BD6095">
        <w:rPr>
          <w:rFonts w:ascii="Times New Roman" w:hAnsi="Times New Roman"/>
          <w:sz w:val="26"/>
          <w:szCs w:val="26"/>
        </w:rPr>
        <w:t xml:space="preserve"> на поддержку обустройства городских парков в 2018 году в сумме 457,3 тыс. рублей.</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Муниципальными образованиями </w:t>
      </w:r>
      <w:proofErr w:type="spellStart"/>
      <w:r w:rsidRPr="00BD6095">
        <w:rPr>
          <w:rFonts w:ascii="Times New Roman" w:hAnsi="Times New Roman"/>
          <w:sz w:val="26"/>
          <w:szCs w:val="26"/>
        </w:rPr>
        <w:t>Печенгского</w:t>
      </w:r>
      <w:proofErr w:type="spellEnd"/>
      <w:r w:rsidRPr="00BD6095">
        <w:rPr>
          <w:rFonts w:ascii="Times New Roman" w:hAnsi="Times New Roman"/>
          <w:sz w:val="26"/>
          <w:szCs w:val="26"/>
        </w:rPr>
        <w:t xml:space="preserve"> района межбюджетная субсидия на поддержку муниципальных программ формирования современной городской среды:</w:t>
      </w:r>
    </w:p>
    <w:p w:rsidR="00BD6095" w:rsidRPr="00BD6095" w:rsidRDefault="00583FB9" w:rsidP="00BD6095">
      <w:pPr>
        <w:spacing w:before="40"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D6095" w:rsidRPr="00BD6095">
        <w:rPr>
          <w:rFonts w:ascii="Times New Roman" w:hAnsi="Times New Roman"/>
          <w:sz w:val="26"/>
          <w:szCs w:val="26"/>
        </w:rPr>
        <w:t xml:space="preserve"> в 2018 году освоена на общую сумму 15 411,2 тыс. рублей, или на 95,9 % от объема, утвержденного Законом «Об областном бюджете на 2018 год», из них:</w:t>
      </w:r>
    </w:p>
    <w:p w:rsidR="00BD6095" w:rsidRPr="00BD6095" w:rsidRDefault="00BD6095" w:rsidP="00583FB9">
      <w:pPr>
        <w:spacing w:before="40" w:after="0" w:line="240" w:lineRule="auto"/>
        <w:ind w:firstLine="1134"/>
        <w:jc w:val="both"/>
        <w:rPr>
          <w:rFonts w:ascii="Times New Roman" w:hAnsi="Times New Roman"/>
          <w:sz w:val="26"/>
          <w:szCs w:val="26"/>
        </w:rPr>
      </w:pPr>
      <w:r w:rsidRPr="00BD6095">
        <w:rPr>
          <w:rFonts w:ascii="Times New Roman" w:hAnsi="Times New Roman"/>
          <w:sz w:val="26"/>
          <w:szCs w:val="26"/>
        </w:rPr>
        <w:t xml:space="preserve">- в полном объеме: </w:t>
      </w:r>
    </w:p>
    <w:p w:rsidR="00BD6095" w:rsidRPr="00BD6095" w:rsidRDefault="00BD6095" w:rsidP="00583FB9">
      <w:pPr>
        <w:spacing w:before="40" w:after="0" w:line="240" w:lineRule="auto"/>
        <w:ind w:firstLine="1134"/>
        <w:jc w:val="both"/>
        <w:rPr>
          <w:rFonts w:ascii="Times New Roman" w:hAnsi="Times New Roman"/>
          <w:sz w:val="26"/>
          <w:szCs w:val="26"/>
        </w:rPr>
      </w:pPr>
      <w:r w:rsidRPr="00BD6095">
        <w:rPr>
          <w:rFonts w:ascii="Times New Roman" w:hAnsi="Times New Roman"/>
          <w:sz w:val="26"/>
          <w:szCs w:val="26"/>
        </w:rPr>
        <w:t xml:space="preserve">а) </w:t>
      </w:r>
      <w:proofErr w:type="spellStart"/>
      <w:r w:rsidRPr="00BD6095">
        <w:rPr>
          <w:rFonts w:ascii="Times New Roman" w:hAnsi="Times New Roman"/>
          <w:sz w:val="26"/>
          <w:szCs w:val="26"/>
        </w:rPr>
        <w:t>г.п</w:t>
      </w:r>
      <w:proofErr w:type="spellEnd"/>
      <w:r w:rsidRPr="00BD6095">
        <w:rPr>
          <w:rFonts w:ascii="Times New Roman" w:hAnsi="Times New Roman"/>
          <w:sz w:val="26"/>
          <w:szCs w:val="26"/>
        </w:rPr>
        <w:t xml:space="preserve">. Никель в сумме 5 204,9 тыс. рублей; </w:t>
      </w:r>
    </w:p>
    <w:p w:rsidR="00BD6095" w:rsidRPr="00BD6095" w:rsidRDefault="00BD6095" w:rsidP="00583FB9">
      <w:pPr>
        <w:spacing w:before="40" w:after="0" w:line="240" w:lineRule="auto"/>
        <w:ind w:firstLine="1134"/>
        <w:jc w:val="both"/>
        <w:rPr>
          <w:rFonts w:ascii="Times New Roman" w:hAnsi="Times New Roman"/>
          <w:sz w:val="26"/>
          <w:szCs w:val="26"/>
        </w:rPr>
      </w:pPr>
      <w:r w:rsidRPr="00BD6095">
        <w:rPr>
          <w:rFonts w:ascii="Times New Roman" w:hAnsi="Times New Roman"/>
          <w:sz w:val="26"/>
          <w:szCs w:val="26"/>
        </w:rPr>
        <w:t xml:space="preserve">б) </w:t>
      </w:r>
      <w:proofErr w:type="spellStart"/>
      <w:r w:rsidRPr="00BD6095">
        <w:rPr>
          <w:rFonts w:ascii="Times New Roman" w:hAnsi="Times New Roman"/>
          <w:sz w:val="26"/>
          <w:szCs w:val="26"/>
        </w:rPr>
        <w:t>г.п</w:t>
      </w:r>
      <w:proofErr w:type="spellEnd"/>
      <w:r w:rsidRPr="00BD6095">
        <w:rPr>
          <w:rFonts w:ascii="Times New Roman" w:hAnsi="Times New Roman"/>
          <w:sz w:val="26"/>
          <w:szCs w:val="26"/>
        </w:rPr>
        <w:t xml:space="preserve">. Печенга в сумме 3 213,3 тыс. рублей; </w:t>
      </w:r>
    </w:p>
    <w:p w:rsidR="00BD6095" w:rsidRPr="00BD6095" w:rsidRDefault="00BD6095" w:rsidP="00583FB9">
      <w:pPr>
        <w:spacing w:before="40" w:after="0" w:line="240" w:lineRule="auto"/>
        <w:ind w:firstLine="1134"/>
        <w:jc w:val="both"/>
        <w:rPr>
          <w:rFonts w:ascii="Times New Roman" w:hAnsi="Times New Roman"/>
          <w:sz w:val="26"/>
          <w:szCs w:val="26"/>
        </w:rPr>
      </w:pPr>
      <w:r w:rsidRPr="00BD6095">
        <w:rPr>
          <w:rFonts w:ascii="Times New Roman" w:hAnsi="Times New Roman"/>
          <w:sz w:val="26"/>
          <w:szCs w:val="26"/>
        </w:rPr>
        <w:t xml:space="preserve">в) </w:t>
      </w:r>
      <w:proofErr w:type="spellStart"/>
      <w:r w:rsidRPr="00BD6095">
        <w:rPr>
          <w:rFonts w:ascii="Times New Roman" w:hAnsi="Times New Roman"/>
          <w:sz w:val="26"/>
          <w:szCs w:val="26"/>
        </w:rPr>
        <w:t>с.п</w:t>
      </w:r>
      <w:proofErr w:type="spellEnd"/>
      <w:r w:rsidRPr="00BD6095">
        <w:rPr>
          <w:rFonts w:ascii="Times New Roman" w:hAnsi="Times New Roman"/>
          <w:sz w:val="26"/>
          <w:szCs w:val="26"/>
        </w:rPr>
        <w:t xml:space="preserve">. </w:t>
      </w:r>
      <w:proofErr w:type="spellStart"/>
      <w:r w:rsidRPr="00BD6095">
        <w:rPr>
          <w:rFonts w:ascii="Times New Roman" w:hAnsi="Times New Roman"/>
          <w:sz w:val="26"/>
          <w:szCs w:val="26"/>
        </w:rPr>
        <w:t>Корзуново</w:t>
      </w:r>
      <w:proofErr w:type="spellEnd"/>
      <w:r w:rsidRPr="00BD6095">
        <w:rPr>
          <w:rFonts w:ascii="Times New Roman" w:hAnsi="Times New Roman"/>
          <w:sz w:val="26"/>
          <w:szCs w:val="26"/>
        </w:rPr>
        <w:t xml:space="preserve"> в сумме 1 085,0 тыс. рублей;</w:t>
      </w:r>
    </w:p>
    <w:p w:rsidR="00BD6095" w:rsidRPr="00BD6095" w:rsidRDefault="00BD6095" w:rsidP="00583FB9">
      <w:pPr>
        <w:spacing w:before="40" w:after="0" w:line="240" w:lineRule="auto"/>
        <w:ind w:left="709" w:firstLine="425"/>
        <w:jc w:val="both"/>
        <w:rPr>
          <w:rFonts w:ascii="Times New Roman" w:hAnsi="Times New Roman"/>
          <w:sz w:val="26"/>
          <w:szCs w:val="26"/>
        </w:rPr>
      </w:pPr>
      <w:r w:rsidRPr="00BD6095">
        <w:rPr>
          <w:rFonts w:ascii="Times New Roman" w:hAnsi="Times New Roman"/>
          <w:sz w:val="26"/>
          <w:szCs w:val="26"/>
        </w:rPr>
        <w:t xml:space="preserve">- не в полном объеме </w:t>
      </w:r>
      <w:proofErr w:type="spellStart"/>
      <w:r w:rsidRPr="00BD6095">
        <w:rPr>
          <w:rFonts w:ascii="Times New Roman" w:hAnsi="Times New Roman"/>
          <w:sz w:val="26"/>
          <w:szCs w:val="26"/>
        </w:rPr>
        <w:t>г.п</w:t>
      </w:r>
      <w:proofErr w:type="spellEnd"/>
      <w:r w:rsidRPr="00BD6095">
        <w:rPr>
          <w:rFonts w:ascii="Times New Roman" w:hAnsi="Times New Roman"/>
          <w:sz w:val="26"/>
          <w:szCs w:val="26"/>
        </w:rPr>
        <w:t>. Заполярный в сумме 5 908,0 тыс. рублей, или на 90,1 % утвержденных бюджетных назначений</w:t>
      </w:r>
      <w:r w:rsidR="00C0041D">
        <w:rPr>
          <w:rFonts w:ascii="Times New Roman" w:hAnsi="Times New Roman"/>
          <w:sz w:val="26"/>
          <w:szCs w:val="26"/>
        </w:rPr>
        <w:t>.</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Причиной неполного исполнения бюджетных ассигнований муниципальным образованием </w:t>
      </w:r>
      <w:proofErr w:type="spellStart"/>
      <w:r w:rsidRPr="00BD6095">
        <w:rPr>
          <w:rFonts w:ascii="Times New Roman" w:hAnsi="Times New Roman"/>
          <w:sz w:val="26"/>
          <w:szCs w:val="26"/>
        </w:rPr>
        <w:t>г.п</w:t>
      </w:r>
      <w:proofErr w:type="spellEnd"/>
      <w:r w:rsidRPr="00BD6095">
        <w:rPr>
          <w:rFonts w:ascii="Times New Roman" w:hAnsi="Times New Roman"/>
          <w:sz w:val="26"/>
          <w:szCs w:val="26"/>
        </w:rPr>
        <w:t xml:space="preserve">. Заполярный в 2018 году является не выполнение подрядчиком в полном объеме работ по благоустройству дворовой территории в сумме 695,4 тыс. рублей. Муниципальным образованием </w:t>
      </w:r>
      <w:proofErr w:type="spellStart"/>
      <w:r w:rsidRPr="00BD6095">
        <w:rPr>
          <w:rFonts w:ascii="Times New Roman" w:hAnsi="Times New Roman"/>
          <w:sz w:val="26"/>
          <w:szCs w:val="26"/>
        </w:rPr>
        <w:t>г.п</w:t>
      </w:r>
      <w:proofErr w:type="spellEnd"/>
      <w:r w:rsidRPr="00BD6095">
        <w:rPr>
          <w:rFonts w:ascii="Times New Roman" w:hAnsi="Times New Roman"/>
          <w:sz w:val="26"/>
          <w:szCs w:val="26"/>
        </w:rPr>
        <w:t>. Заполярный ведется претензионная работа в отношении подрядчика по исполнению оставшегося объема работ</w:t>
      </w:r>
      <w:r w:rsidR="00C0041D">
        <w:rPr>
          <w:rFonts w:ascii="Times New Roman" w:hAnsi="Times New Roman"/>
          <w:sz w:val="26"/>
          <w:szCs w:val="26"/>
        </w:rPr>
        <w:t>;</w:t>
      </w:r>
      <w:r w:rsidRPr="00BD6095">
        <w:rPr>
          <w:rFonts w:ascii="Times New Roman" w:hAnsi="Times New Roman"/>
          <w:sz w:val="26"/>
          <w:szCs w:val="26"/>
        </w:rPr>
        <w:t xml:space="preserve"> </w:t>
      </w:r>
    </w:p>
    <w:p w:rsidR="00BD6095" w:rsidRPr="00BD6095" w:rsidRDefault="00583FB9" w:rsidP="00BD6095">
      <w:pPr>
        <w:spacing w:before="40"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D6095" w:rsidRPr="00BD6095">
        <w:rPr>
          <w:rFonts w:ascii="Times New Roman" w:hAnsi="Times New Roman"/>
          <w:sz w:val="26"/>
          <w:szCs w:val="26"/>
        </w:rPr>
        <w:t xml:space="preserve"> по состоянию на 1 октября 2019 года освоена на общую сумму 12 702,0 тыс. рублей, или на 61,3 % от объема, утвержденного Законом «Об областном бюджете на 2019 год», из них:</w:t>
      </w:r>
    </w:p>
    <w:p w:rsidR="00BD6095" w:rsidRPr="00BD6095" w:rsidRDefault="00BD6095" w:rsidP="00583FB9">
      <w:pPr>
        <w:spacing w:before="40" w:after="0" w:line="240" w:lineRule="auto"/>
        <w:ind w:left="709" w:firstLine="284"/>
        <w:jc w:val="both"/>
        <w:rPr>
          <w:rFonts w:ascii="Times New Roman" w:hAnsi="Times New Roman"/>
          <w:sz w:val="26"/>
          <w:szCs w:val="26"/>
        </w:rPr>
      </w:pPr>
      <w:r w:rsidRPr="00BD6095">
        <w:rPr>
          <w:rFonts w:ascii="Times New Roman" w:hAnsi="Times New Roman"/>
          <w:sz w:val="26"/>
          <w:szCs w:val="26"/>
        </w:rPr>
        <w:t xml:space="preserve">- в полном объеме: </w:t>
      </w:r>
      <w:proofErr w:type="spellStart"/>
      <w:r w:rsidRPr="00BD6095">
        <w:rPr>
          <w:rFonts w:ascii="Times New Roman" w:hAnsi="Times New Roman"/>
          <w:sz w:val="26"/>
          <w:szCs w:val="26"/>
        </w:rPr>
        <w:t>г.п</w:t>
      </w:r>
      <w:proofErr w:type="spellEnd"/>
      <w:r w:rsidRPr="00BD6095">
        <w:rPr>
          <w:rFonts w:ascii="Times New Roman" w:hAnsi="Times New Roman"/>
          <w:sz w:val="26"/>
          <w:szCs w:val="26"/>
        </w:rPr>
        <w:t xml:space="preserve">. Заполярный в сумме 8 387,1 тыс. рублей, </w:t>
      </w:r>
      <w:proofErr w:type="spellStart"/>
      <w:r w:rsidRPr="00BD6095">
        <w:rPr>
          <w:rFonts w:ascii="Times New Roman" w:hAnsi="Times New Roman"/>
          <w:sz w:val="26"/>
          <w:szCs w:val="26"/>
        </w:rPr>
        <w:t>г.п</w:t>
      </w:r>
      <w:proofErr w:type="spellEnd"/>
      <w:r w:rsidRPr="00BD6095">
        <w:rPr>
          <w:rFonts w:ascii="Times New Roman" w:hAnsi="Times New Roman"/>
          <w:sz w:val="26"/>
          <w:szCs w:val="26"/>
        </w:rPr>
        <w:t>. Печенга в сумме 4 314,9 тыс. рублей;</w:t>
      </w:r>
    </w:p>
    <w:p w:rsidR="00BD6095" w:rsidRPr="00BD6095" w:rsidRDefault="00BD6095" w:rsidP="00583FB9">
      <w:pPr>
        <w:spacing w:before="40" w:after="0" w:line="240" w:lineRule="auto"/>
        <w:ind w:left="709" w:firstLine="284"/>
        <w:jc w:val="both"/>
        <w:rPr>
          <w:rFonts w:ascii="Times New Roman" w:hAnsi="Times New Roman"/>
          <w:sz w:val="26"/>
          <w:szCs w:val="26"/>
        </w:rPr>
      </w:pPr>
      <w:r w:rsidRPr="00BD6095">
        <w:rPr>
          <w:rFonts w:ascii="Times New Roman" w:hAnsi="Times New Roman"/>
          <w:sz w:val="26"/>
          <w:szCs w:val="26"/>
        </w:rPr>
        <w:t xml:space="preserve">- полностью не исполнены: </w:t>
      </w:r>
      <w:proofErr w:type="spellStart"/>
      <w:r w:rsidRPr="00BD6095">
        <w:rPr>
          <w:rFonts w:ascii="Times New Roman" w:hAnsi="Times New Roman"/>
          <w:sz w:val="26"/>
          <w:szCs w:val="26"/>
        </w:rPr>
        <w:t>г.п</w:t>
      </w:r>
      <w:proofErr w:type="spellEnd"/>
      <w:r w:rsidRPr="00BD6095">
        <w:rPr>
          <w:rFonts w:ascii="Times New Roman" w:hAnsi="Times New Roman"/>
          <w:sz w:val="26"/>
          <w:szCs w:val="26"/>
        </w:rPr>
        <w:t xml:space="preserve">. Никель в сумме 6 624,6 тыс. рублей, </w:t>
      </w:r>
      <w:proofErr w:type="spellStart"/>
      <w:r w:rsidRPr="00BD6095">
        <w:rPr>
          <w:rFonts w:ascii="Times New Roman" w:hAnsi="Times New Roman"/>
          <w:sz w:val="26"/>
          <w:szCs w:val="26"/>
        </w:rPr>
        <w:t>с.п</w:t>
      </w:r>
      <w:proofErr w:type="spellEnd"/>
      <w:r w:rsidRPr="00BD6095">
        <w:rPr>
          <w:rFonts w:ascii="Times New Roman" w:hAnsi="Times New Roman"/>
          <w:sz w:val="26"/>
          <w:szCs w:val="26"/>
        </w:rPr>
        <w:t xml:space="preserve">. </w:t>
      </w:r>
      <w:proofErr w:type="spellStart"/>
      <w:r w:rsidRPr="00BD6095">
        <w:rPr>
          <w:rFonts w:ascii="Times New Roman" w:hAnsi="Times New Roman"/>
          <w:sz w:val="26"/>
          <w:szCs w:val="26"/>
        </w:rPr>
        <w:t>Корзуново</w:t>
      </w:r>
      <w:proofErr w:type="spellEnd"/>
      <w:r w:rsidRPr="00BD6095">
        <w:rPr>
          <w:rFonts w:ascii="Times New Roman" w:hAnsi="Times New Roman"/>
          <w:sz w:val="26"/>
          <w:szCs w:val="26"/>
        </w:rPr>
        <w:t xml:space="preserve"> в сумме 1 392,2 тыс. рублей.</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Межбюджетная субсидия на поддержку обустройства городских парков исполнена в 2018 году в сумме 402,6 тыс. рублей, или на 88,0 % от объема, утвержденного Законом «Об областном бюджете на 2018 год». </w:t>
      </w:r>
    </w:p>
    <w:p w:rsidR="00BD6095" w:rsidRPr="00BD6095" w:rsidRDefault="00BD6095" w:rsidP="00BD6095">
      <w:pPr>
        <w:spacing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Причиной неполного исполнения бюджетных ассигнований муниципальным образованием </w:t>
      </w:r>
      <w:proofErr w:type="spellStart"/>
      <w:r w:rsidRPr="00BD6095">
        <w:rPr>
          <w:rFonts w:ascii="Times New Roman" w:hAnsi="Times New Roman"/>
          <w:sz w:val="26"/>
          <w:szCs w:val="26"/>
        </w:rPr>
        <w:t>г.п</w:t>
      </w:r>
      <w:proofErr w:type="spellEnd"/>
      <w:r w:rsidRPr="00BD6095">
        <w:rPr>
          <w:rFonts w:ascii="Times New Roman" w:hAnsi="Times New Roman"/>
          <w:sz w:val="26"/>
          <w:szCs w:val="26"/>
        </w:rPr>
        <w:t>. Заполярный является экономия, полученная результатам проведения электронного аукциона.</w:t>
      </w:r>
    </w:p>
    <w:p w:rsidR="00BD6095" w:rsidRPr="00BD6095" w:rsidRDefault="00BD6095" w:rsidP="00BD6095">
      <w:pPr>
        <w:spacing w:after="0" w:line="240" w:lineRule="auto"/>
        <w:ind w:firstLine="709"/>
        <w:jc w:val="both"/>
        <w:rPr>
          <w:rFonts w:ascii="Times New Roman" w:hAnsi="Times New Roman"/>
          <w:sz w:val="26"/>
          <w:szCs w:val="26"/>
        </w:rPr>
      </w:pPr>
      <w:r w:rsidRPr="00BD6095">
        <w:rPr>
          <w:rFonts w:ascii="Times New Roman" w:hAnsi="Times New Roman"/>
          <w:sz w:val="26"/>
          <w:szCs w:val="26"/>
        </w:rPr>
        <w:t>В ходе проверки соблюдения критериев и условий предоставления межбюджетных субсидий нарушений не установлено.</w:t>
      </w:r>
    </w:p>
    <w:p w:rsidR="00BD6095" w:rsidRPr="00BD6095" w:rsidRDefault="00BD6095" w:rsidP="00BD6095">
      <w:pPr>
        <w:spacing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Предоставление межбюджетных субсидий осуществлялось на основании соглашений о предоставлении межбюджетной субсидии, заключенных между Минстроем Мурманской области и уполномоченными органами муниципальных образований </w:t>
      </w:r>
      <w:proofErr w:type="spellStart"/>
      <w:r w:rsidRPr="00BD6095">
        <w:rPr>
          <w:rFonts w:ascii="Times New Roman" w:hAnsi="Times New Roman"/>
          <w:sz w:val="26"/>
          <w:szCs w:val="26"/>
        </w:rPr>
        <w:t>Печенгского</w:t>
      </w:r>
      <w:proofErr w:type="spellEnd"/>
      <w:r w:rsidRPr="00BD6095">
        <w:rPr>
          <w:rFonts w:ascii="Times New Roman" w:hAnsi="Times New Roman"/>
          <w:sz w:val="26"/>
          <w:szCs w:val="26"/>
        </w:rPr>
        <w:t xml:space="preserve"> района по типовым формам. </w:t>
      </w:r>
    </w:p>
    <w:p w:rsidR="00BD6095" w:rsidRPr="00BD6095" w:rsidRDefault="00BD6095" w:rsidP="00BD6095">
      <w:pPr>
        <w:spacing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Фактически сложившийся уровень </w:t>
      </w:r>
      <w:proofErr w:type="spellStart"/>
      <w:r w:rsidRPr="00BD6095">
        <w:rPr>
          <w:rFonts w:ascii="Times New Roman" w:hAnsi="Times New Roman"/>
          <w:sz w:val="26"/>
          <w:szCs w:val="26"/>
        </w:rPr>
        <w:t>софинансирования</w:t>
      </w:r>
      <w:proofErr w:type="spellEnd"/>
      <w:r w:rsidRPr="00BD6095">
        <w:rPr>
          <w:rFonts w:ascii="Times New Roman" w:hAnsi="Times New Roman"/>
          <w:sz w:val="26"/>
          <w:szCs w:val="26"/>
        </w:rPr>
        <w:t xml:space="preserve"> расходных обязательств муниципальных образований </w:t>
      </w:r>
      <w:proofErr w:type="spellStart"/>
      <w:r w:rsidRPr="00BD6095">
        <w:rPr>
          <w:rFonts w:ascii="Times New Roman" w:hAnsi="Times New Roman"/>
          <w:sz w:val="26"/>
          <w:szCs w:val="26"/>
        </w:rPr>
        <w:t>Печенгского</w:t>
      </w:r>
      <w:proofErr w:type="spellEnd"/>
      <w:r w:rsidRPr="00BD6095">
        <w:rPr>
          <w:rFonts w:ascii="Times New Roman" w:hAnsi="Times New Roman"/>
          <w:sz w:val="26"/>
          <w:szCs w:val="26"/>
        </w:rPr>
        <w:t xml:space="preserve"> района за счет средств межбюджетных субсидий не превысил предельно допустимый уровень </w:t>
      </w:r>
      <w:proofErr w:type="spellStart"/>
      <w:r w:rsidRPr="00BD6095">
        <w:rPr>
          <w:rFonts w:ascii="Times New Roman" w:hAnsi="Times New Roman"/>
          <w:sz w:val="26"/>
          <w:szCs w:val="26"/>
        </w:rPr>
        <w:t>софинансирования</w:t>
      </w:r>
      <w:proofErr w:type="spellEnd"/>
      <w:r w:rsidRPr="00BD6095">
        <w:rPr>
          <w:rFonts w:ascii="Times New Roman" w:hAnsi="Times New Roman"/>
          <w:sz w:val="26"/>
          <w:szCs w:val="26"/>
        </w:rPr>
        <w:t>.</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Анализ результатов проведения процедур определения поставщиков (подрядчиков, исполнителей) показал, что муниципальные контракты в основном заключались с единственным участником электронного аукциона, что свидетельствует о низком уровне конкурентной среды в муниципальных образованиях </w:t>
      </w:r>
      <w:proofErr w:type="spellStart"/>
      <w:r w:rsidRPr="00BD6095">
        <w:rPr>
          <w:rFonts w:ascii="Times New Roman" w:hAnsi="Times New Roman"/>
          <w:sz w:val="26"/>
          <w:szCs w:val="26"/>
        </w:rPr>
        <w:t>Печенгского</w:t>
      </w:r>
      <w:proofErr w:type="spellEnd"/>
      <w:r w:rsidRPr="00BD6095">
        <w:rPr>
          <w:rFonts w:ascii="Times New Roman" w:hAnsi="Times New Roman"/>
          <w:sz w:val="26"/>
          <w:szCs w:val="26"/>
        </w:rPr>
        <w:t xml:space="preserve"> района. Так, например, ООО «Север-Строй», является подрядчиком (исполнителем) по 8 из 12 муниципальных контрактов (67 %). </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lastRenderedPageBreak/>
        <w:t xml:space="preserve">В ходе контрольного мероприятия установлено, что имеют место факты несвоевременного выполнения и (или) переноса сроков окончания работ по благоустройству отдельных общественных и дворовых территорий. </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t>В 2018 году в рамках исполнения всех 6 муниципальных контрактов подрядчиками нарушались сроки выполнения работ, из них:</w:t>
      </w:r>
    </w:p>
    <w:p w:rsidR="00BD6095" w:rsidRPr="00BD6095" w:rsidRDefault="00583FB9" w:rsidP="00BD6095">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D6095" w:rsidRPr="00BD6095">
        <w:rPr>
          <w:rFonts w:ascii="Times New Roman" w:hAnsi="Times New Roman"/>
          <w:sz w:val="26"/>
          <w:szCs w:val="26"/>
        </w:rPr>
        <w:t xml:space="preserve"> по 4 муниципальным контрактам подрядчику начислена неустойка за несвоевременное окончание работ на общую сумму 188,9 тыс. рублей; </w:t>
      </w:r>
    </w:p>
    <w:p w:rsidR="00BD6095" w:rsidRPr="00BD6095" w:rsidRDefault="00583FB9" w:rsidP="00BD6095">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D6095" w:rsidRPr="00BD6095">
        <w:rPr>
          <w:rFonts w:ascii="Times New Roman" w:hAnsi="Times New Roman"/>
          <w:sz w:val="26"/>
          <w:szCs w:val="26"/>
        </w:rPr>
        <w:t xml:space="preserve"> в 2 случаях между подрядчиком и заказчиком был согласован перенос сроков окончания работ и штрафные санкции не применялись.</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t>В 2019 году сроки окончания работ были нарушены подрядчиками по 5 из 6 муниципальных контрактов, из них:</w:t>
      </w:r>
    </w:p>
    <w:p w:rsidR="00BD6095" w:rsidRPr="00BD6095" w:rsidRDefault="00583FB9" w:rsidP="00BD6095">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D6095" w:rsidRPr="00BD6095">
        <w:rPr>
          <w:rFonts w:ascii="Times New Roman" w:hAnsi="Times New Roman"/>
          <w:sz w:val="26"/>
          <w:szCs w:val="26"/>
        </w:rPr>
        <w:t xml:space="preserve"> 2 контрактам подрядчику начислена неустойка за несвоевременное окончание работ на общую сумму 52,3 тыс. рублей;</w:t>
      </w:r>
    </w:p>
    <w:p w:rsidR="00BD6095" w:rsidRPr="00BD6095" w:rsidRDefault="00583FB9" w:rsidP="00BD6095">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D6095" w:rsidRPr="00BD6095">
        <w:rPr>
          <w:rFonts w:ascii="Times New Roman" w:hAnsi="Times New Roman"/>
          <w:sz w:val="26"/>
          <w:szCs w:val="26"/>
        </w:rPr>
        <w:t xml:space="preserve"> по 1 контракту штрафные санкции не применялись;</w:t>
      </w:r>
    </w:p>
    <w:p w:rsidR="00BD6095" w:rsidRPr="00BD6095" w:rsidRDefault="00583FB9" w:rsidP="00BD6095">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D6095" w:rsidRPr="00BD6095">
        <w:rPr>
          <w:rFonts w:ascii="Times New Roman" w:hAnsi="Times New Roman"/>
          <w:sz w:val="26"/>
          <w:szCs w:val="26"/>
        </w:rPr>
        <w:t xml:space="preserve"> в рамках исполнения 2 контрактов работы на момент окончания проверки не приняты.</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Кроме того, во всех муниципальных образованиях </w:t>
      </w:r>
      <w:proofErr w:type="spellStart"/>
      <w:r w:rsidRPr="00BD6095">
        <w:rPr>
          <w:rFonts w:ascii="Times New Roman" w:hAnsi="Times New Roman"/>
          <w:sz w:val="26"/>
          <w:szCs w:val="26"/>
        </w:rPr>
        <w:t>Печенгского</w:t>
      </w:r>
      <w:proofErr w:type="spellEnd"/>
      <w:r w:rsidRPr="00BD6095">
        <w:rPr>
          <w:rFonts w:ascii="Times New Roman" w:hAnsi="Times New Roman"/>
          <w:sz w:val="26"/>
          <w:szCs w:val="26"/>
        </w:rPr>
        <w:t xml:space="preserve"> района при проведении работ по благоустройству общественных и дворовых территорий имели место случаи некачественного выполнения работ и (или) отклонения от проекта.</w:t>
      </w:r>
    </w:p>
    <w:p w:rsidR="00BD6095" w:rsidRPr="00BD6095" w:rsidRDefault="00BD6095" w:rsidP="00BD6095">
      <w:pPr>
        <w:spacing w:before="40" w:after="0" w:line="240" w:lineRule="auto"/>
        <w:ind w:firstLine="709"/>
        <w:jc w:val="both"/>
        <w:rPr>
          <w:rFonts w:ascii="Times New Roman" w:hAnsi="Times New Roman"/>
          <w:sz w:val="26"/>
          <w:szCs w:val="26"/>
        </w:rPr>
      </w:pPr>
      <w:r w:rsidRPr="00BD6095">
        <w:rPr>
          <w:rFonts w:ascii="Times New Roman" w:hAnsi="Times New Roman"/>
          <w:sz w:val="26"/>
          <w:szCs w:val="26"/>
        </w:rPr>
        <w:t>В результате, имеются риски снижения ожидаемых результатов реализации ГП «Формирование современной городской среды Мурманской области» в случае невыполнения и (или) неполного выполнения мероприятий в сфере благоустройства.</w:t>
      </w:r>
    </w:p>
    <w:p w:rsidR="00BD6095" w:rsidRPr="00BD6095" w:rsidRDefault="00BD6095" w:rsidP="00BD6095">
      <w:pPr>
        <w:spacing w:after="0" w:line="240" w:lineRule="auto"/>
        <w:ind w:firstLine="709"/>
        <w:jc w:val="both"/>
        <w:rPr>
          <w:rFonts w:ascii="Times New Roman" w:hAnsi="Times New Roman"/>
          <w:sz w:val="26"/>
          <w:szCs w:val="26"/>
        </w:rPr>
      </w:pPr>
      <w:r w:rsidRPr="00BD6095">
        <w:rPr>
          <w:rFonts w:ascii="Times New Roman" w:hAnsi="Times New Roman"/>
          <w:sz w:val="26"/>
          <w:szCs w:val="26"/>
        </w:rPr>
        <w:t>Форма отчета об исполнении целевых показателей результативности, утвержденной в приложении к соглашениям, не предусматривает отражение сведений о показателе «количество/площадь благоустроенных территорий (ед./кв. метров)», чем не соблюдены требования пункта 15 во взаимосвязи с пунктом 18 «Правил предоставления и распределения межбюджетной субсидии на поддержку муниципальных программ формирования современной городской среды».</w:t>
      </w:r>
    </w:p>
    <w:p w:rsidR="00BD6095" w:rsidRDefault="00BD6095" w:rsidP="00BD6095">
      <w:pPr>
        <w:spacing w:after="0" w:line="240" w:lineRule="auto"/>
        <w:ind w:firstLine="709"/>
        <w:jc w:val="both"/>
        <w:rPr>
          <w:rFonts w:ascii="Times New Roman" w:hAnsi="Times New Roman"/>
          <w:sz w:val="26"/>
          <w:szCs w:val="26"/>
        </w:rPr>
      </w:pPr>
      <w:r w:rsidRPr="00BD6095">
        <w:rPr>
          <w:rFonts w:ascii="Times New Roman" w:hAnsi="Times New Roman"/>
          <w:sz w:val="26"/>
          <w:szCs w:val="26"/>
        </w:rPr>
        <w:t xml:space="preserve">Отсутствие сведений о количественных показателях благоустроенных территорий не позволяет дать оценку изменениям уровня благоустройства на территории муниципальных образований </w:t>
      </w:r>
      <w:proofErr w:type="spellStart"/>
      <w:r w:rsidRPr="00BD6095">
        <w:rPr>
          <w:rFonts w:ascii="Times New Roman" w:hAnsi="Times New Roman"/>
          <w:sz w:val="26"/>
          <w:szCs w:val="26"/>
        </w:rPr>
        <w:t>Печенгского</w:t>
      </w:r>
      <w:proofErr w:type="spellEnd"/>
      <w:r w:rsidRPr="00BD6095">
        <w:rPr>
          <w:rFonts w:ascii="Times New Roman" w:hAnsi="Times New Roman"/>
          <w:sz w:val="26"/>
          <w:szCs w:val="26"/>
        </w:rPr>
        <w:t xml:space="preserve"> района Мурманской области. </w:t>
      </w:r>
    </w:p>
    <w:p w:rsidR="008A2F5B" w:rsidRPr="008A2F5B" w:rsidRDefault="008A2F5B" w:rsidP="00BD6095">
      <w:pPr>
        <w:spacing w:after="0" w:line="240" w:lineRule="auto"/>
        <w:ind w:firstLine="709"/>
        <w:jc w:val="both"/>
        <w:rPr>
          <w:rFonts w:ascii="Times New Roman" w:hAnsi="Times New Roman"/>
          <w:sz w:val="16"/>
          <w:szCs w:val="16"/>
        </w:rPr>
      </w:pPr>
    </w:p>
    <w:p w:rsidR="008A2F5B" w:rsidRDefault="008B6853" w:rsidP="000C0E65">
      <w:pPr>
        <w:keepNext/>
        <w:spacing w:before="240" w:after="60" w:line="240" w:lineRule="auto"/>
        <w:jc w:val="center"/>
        <w:outlineLvl w:val="2"/>
        <w:rPr>
          <w:rFonts w:ascii="Times New Roman" w:hAnsi="Times New Roman" w:cs="Arial"/>
          <w:b/>
          <w:bCs/>
          <w:sz w:val="16"/>
          <w:szCs w:val="16"/>
        </w:rPr>
      </w:pPr>
      <w:r w:rsidRPr="005167AD">
        <w:rPr>
          <w:rFonts w:ascii="Times New Roman" w:hAnsi="Times New Roman" w:cs="Arial"/>
          <w:b/>
          <w:bCs/>
          <w:sz w:val="26"/>
          <w:szCs w:val="26"/>
        </w:rPr>
        <w:t>5</w:t>
      </w:r>
      <w:r w:rsidR="00753287" w:rsidRPr="005167AD">
        <w:rPr>
          <w:rFonts w:ascii="Times New Roman" w:hAnsi="Times New Roman" w:cs="Arial"/>
          <w:b/>
          <w:bCs/>
          <w:sz w:val="26"/>
          <w:szCs w:val="26"/>
        </w:rPr>
        <w:t>. Основные результаты проверок использования средств областного бюджета в сфере социальной поддержки и социального обслуживания</w:t>
      </w:r>
    </w:p>
    <w:p w:rsidR="008A2F5B" w:rsidRPr="008A2F5B" w:rsidRDefault="008A2F5B" w:rsidP="000C0E65">
      <w:pPr>
        <w:keepNext/>
        <w:spacing w:before="240" w:after="60" w:line="240" w:lineRule="auto"/>
        <w:jc w:val="center"/>
        <w:outlineLvl w:val="2"/>
        <w:rPr>
          <w:rFonts w:ascii="Times New Roman" w:hAnsi="Times New Roman" w:cs="Arial"/>
          <w:b/>
          <w:bCs/>
          <w:sz w:val="2"/>
          <w:szCs w:val="2"/>
        </w:rPr>
      </w:pPr>
    </w:p>
    <w:p w:rsidR="00753287" w:rsidRPr="00BF165D" w:rsidRDefault="008B6853" w:rsidP="003F1FA1">
      <w:pPr>
        <w:tabs>
          <w:tab w:val="left" w:pos="284"/>
        </w:tabs>
        <w:suppressAutoHyphens/>
        <w:spacing w:after="0" w:line="240" w:lineRule="auto"/>
        <w:ind w:firstLine="709"/>
        <w:jc w:val="both"/>
        <w:rPr>
          <w:rFonts w:ascii="Times New Roman" w:hAnsi="Times New Roman"/>
          <w:sz w:val="26"/>
          <w:szCs w:val="26"/>
          <w:lang w:eastAsia="x-none"/>
        </w:rPr>
      </w:pPr>
      <w:r w:rsidRPr="002C49D3">
        <w:rPr>
          <w:rFonts w:ascii="Times New Roman" w:hAnsi="Times New Roman"/>
          <w:b/>
          <w:sz w:val="26"/>
          <w:szCs w:val="26"/>
          <w:lang w:eastAsia="x-none"/>
        </w:rPr>
        <w:t>5</w:t>
      </w:r>
      <w:r w:rsidR="00226908" w:rsidRPr="002C49D3">
        <w:rPr>
          <w:rFonts w:ascii="Times New Roman" w:hAnsi="Times New Roman"/>
          <w:b/>
          <w:sz w:val="26"/>
          <w:szCs w:val="26"/>
          <w:lang w:eastAsia="x-none"/>
        </w:rPr>
        <w:t>.1.</w:t>
      </w:r>
      <w:r w:rsidR="00226908" w:rsidRPr="00BF165D">
        <w:rPr>
          <w:rFonts w:ascii="Times New Roman" w:hAnsi="Times New Roman"/>
          <w:sz w:val="26"/>
          <w:szCs w:val="26"/>
          <w:lang w:eastAsia="x-none"/>
        </w:rPr>
        <w:t xml:space="preserve"> </w:t>
      </w:r>
      <w:r w:rsidR="00753287" w:rsidRPr="00BF165D">
        <w:rPr>
          <w:rFonts w:ascii="Times New Roman" w:hAnsi="Times New Roman"/>
          <w:sz w:val="26"/>
          <w:szCs w:val="26"/>
          <w:lang w:eastAsia="x-none"/>
        </w:rPr>
        <w:t xml:space="preserve">В ходе контрольного мероприятия </w:t>
      </w:r>
      <w:r w:rsidR="00753287" w:rsidRPr="00BF165D">
        <w:rPr>
          <w:rFonts w:ascii="Times New Roman" w:hAnsi="Times New Roman"/>
          <w:b/>
          <w:bCs/>
          <w:sz w:val="26"/>
          <w:szCs w:val="26"/>
          <w:lang w:eastAsia="x-none"/>
        </w:rPr>
        <w:t>«Проверка использования средств областного бюджета, выделенных в 2018 году и истекшем периоде 2019 года на предоставление государственной социальной помощи малоимущим семьям, малоимущим одиноко проживающим гражданам, иным категориям граждан в соответствии с Законом Мурманской области «О государственной социальной помощи в Мурманской области»</w:t>
      </w:r>
      <w:r w:rsidR="00753287" w:rsidRPr="00BF165D">
        <w:rPr>
          <w:rFonts w:ascii="Times New Roman" w:hAnsi="Times New Roman"/>
          <w:sz w:val="26"/>
          <w:szCs w:val="26"/>
          <w:lang w:eastAsia="x-none"/>
        </w:rPr>
        <w:t>, установлено следующее.</w:t>
      </w:r>
    </w:p>
    <w:p w:rsidR="00753287" w:rsidRPr="00BF165D" w:rsidRDefault="00753287" w:rsidP="003F1FA1">
      <w:pPr>
        <w:tabs>
          <w:tab w:val="left" w:pos="284"/>
        </w:tabs>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 xml:space="preserve">Объем бюджетных ассигнований на предоставление адресной государственной социальной помощи ежегодно с 2009 года предусматривается в областном бюджете в неизменном объеме – 166 314,0 тыс. рублей, при этом численность ее получателей характеризуется относительной стабильностью. С учетом индекса потребительских цен по Мурманской области за период 2010-2019 годов реальный объем бюджетных </w:t>
      </w:r>
      <w:r w:rsidRPr="00BF165D">
        <w:rPr>
          <w:rFonts w:ascii="Times New Roman" w:hAnsi="Times New Roman"/>
          <w:sz w:val="26"/>
          <w:szCs w:val="26"/>
          <w:lang w:eastAsia="x-none"/>
        </w:rPr>
        <w:lastRenderedPageBreak/>
        <w:t>ассигнований на предоставление адресной государственной социальной помощи к 2019 году составил 52,45 % от объема 2009 года, т.е. сократился почти в 2 раза.</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За период действия государственной программы Мурманской области «Социальная поддержка граждан» (с 2014 по 2018 годы) с учетом индекса потребительских цен по Мурманской области реальный средний размер выплаты адресной государственной социальной помощи на одного получателя в год имеет устойчивую тенденцию к уменьшению и к 2018 году сократился на 14,0 процентов.</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Выборочный анализ соотношения среднего совокупного дохода семьи и средней величины суммы прожиточных минимумов семьи до и после назначения адресной государственной социальной помощи малоимущим гражданам показал:</w:t>
      </w:r>
    </w:p>
    <w:p w:rsidR="00753287" w:rsidRPr="00BF165D" w:rsidRDefault="00583FB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753287" w:rsidRPr="00BF165D">
        <w:rPr>
          <w:rFonts w:ascii="Times New Roman" w:hAnsi="Times New Roman"/>
          <w:sz w:val="26"/>
          <w:szCs w:val="26"/>
          <w:lang w:eastAsia="x-none"/>
        </w:rPr>
        <w:t>назначаемые выплаты адресной государственной социальной помощи практически не влияют на уровень доходов семьи, так как «разрыв» между величиной прожиточного минимума и совокупным доходом семьи, составлявший (в разрезе обслуживаемых территориальных образований) 32,4 – 39,6 %%, сокращается незначительно – на 3,6 - 5,6 процентных пункта;</w:t>
      </w:r>
    </w:p>
    <w:p w:rsidR="00753287" w:rsidRPr="00BF165D" w:rsidRDefault="00583FB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753287" w:rsidRPr="00BF165D">
        <w:rPr>
          <w:rFonts w:ascii="Times New Roman" w:hAnsi="Times New Roman"/>
          <w:sz w:val="26"/>
          <w:szCs w:val="26"/>
          <w:lang w:eastAsia="x-none"/>
        </w:rPr>
        <w:t xml:space="preserve">при увеличении размера прожиточного минимума на душу населения на 9,0 % средний размер выплаты на члена семьи получателя адресной государственной социальной помощи сократился на 2,5 %;  </w:t>
      </w:r>
    </w:p>
    <w:p w:rsidR="00753287" w:rsidRPr="00BF165D" w:rsidRDefault="00583FB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753287" w:rsidRPr="00BF165D">
        <w:rPr>
          <w:rFonts w:ascii="Times New Roman" w:hAnsi="Times New Roman"/>
          <w:sz w:val="26"/>
          <w:szCs w:val="26"/>
          <w:lang w:eastAsia="x-none"/>
        </w:rPr>
        <w:t>адресная государственная социальная помощь предоставляется в размере, составляющем в среднем не более 15,0 % от суммы разницы между совокупным доходом и величиной прожиточного минимума;</w:t>
      </w:r>
    </w:p>
    <w:p w:rsidR="00753287" w:rsidRPr="00BF165D" w:rsidRDefault="00583FB9" w:rsidP="00753287">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00753287" w:rsidRPr="00BF165D">
        <w:rPr>
          <w:rFonts w:ascii="Times New Roman" w:hAnsi="Times New Roman"/>
          <w:sz w:val="26"/>
          <w:szCs w:val="26"/>
          <w:lang w:eastAsia="x-none"/>
        </w:rPr>
        <w:t>сохранение объема бюджетных ассигнований на адресную государственную социальную помощь малоимущим гражданам на одном уровне в будущем предполагает еще большее увеличение «разрыва» между величиной прожиточного минимума и среднедушевым доходом семьи.</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 xml:space="preserve">Такие результаты оказания адресной государственной социальной помощи могут свидетельствовать о недостижении в Мурманской области целей оказания государственной социальной помощи в части поддержания уровня жизни малоимущих семей, а также малоимущих одиноко проживающих граждан, среднедушевой доход которых ниже величины прожиточного минимума, и снижения уровня социального неравенства, определенных Федеральным законом </w:t>
      </w:r>
      <w:bookmarkStart w:id="5" w:name="_Hlk31114740"/>
      <w:r w:rsidRPr="00BF165D">
        <w:rPr>
          <w:rFonts w:ascii="Times New Roman" w:hAnsi="Times New Roman"/>
          <w:sz w:val="26"/>
          <w:szCs w:val="26"/>
          <w:lang w:eastAsia="x-none"/>
        </w:rPr>
        <w:t>от 17 июля 1999 года № 178-ФЗ «О государственной социальной помощи»</w:t>
      </w:r>
      <w:bookmarkEnd w:id="5"/>
      <w:r w:rsidRPr="00BF165D">
        <w:rPr>
          <w:rFonts w:ascii="Times New Roman" w:hAnsi="Times New Roman"/>
          <w:sz w:val="26"/>
          <w:szCs w:val="26"/>
          <w:lang w:eastAsia="x-none"/>
        </w:rPr>
        <w:t xml:space="preserve"> и Законом Мурманской области от 23 декабря 2004 года № 549-01-ЗМО «О государственной социальной помощи в Мурманской области».</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Результаты оценки эффективности оказания государственной социальной помощи на основании социального контракта в целом свидетельствует о наличии тенденции к снижению эффективности бюджетных расходов, направляемых на оказание государственной социальной помощи данного вида. Так, сводный индекс эффективности социального контракта в трехлетнем периоде (2016-2018 гг.) снизился с 16,4 % до 15,7 процента.</w:t>
      </w:r>
    </w:p>
    <w:p w:rsidR="00753287" w:rsidRDefault="00753287" w:rsidP="00753287">
      <w:pPr>
        <w:suppressAutoHyphens/>
        <w:spacing w:after="0" w:line="240" w:lineRule="auto"/>
        <w:ind w:firstLine="709"/>
        <w:jc w:val="both"/>
        <w:rPr>
          <w:rFonts w:ascii="Times New Roman" w:hAnsi="Times New Roman"/>
          <w:sz w:val="16"/>
          <w:szCs w:val="16"/>
          <w:lang w:eastAsia="x-none"/>
        </w:rPr>
      </w:pPr>
      <w:r w:rsidRPr="00BF165D">
        <w:rPr>
          <w:rFonts w:ascii="Times New Roman" w:hAnsi="Times New Roman"/>
          <w:sz w:val="26"/>
          <w:szCs w:val="26"/>
          <w:lang w:eastAsia="x-none"/>
        </w:rPr>
        <w:t>По результатам контрольного мероприятия направлены информационные письма с предложениями в Правительство Мурманской области, Министерство финансов Мурманской области, обращение в Прокуратуру Мурманской области.</w:t>
      </w:r>
    </w:p>
    <w:p w:rsidR="006E5396" w:rsidRPr="006E5396" w:rsidRDefault="006E5396" w:rsidP="00753287">
      <w:pPr>
        <w:suppressAutoHyphens/>
        <w:spacing w:after="0" w:line="240" w:lineRule="auto"/>
        <w:ind w:firstLine="709"/>
        <w:jc w:val="both"/>
        <w:rPr>
          <w:rFonts w:ascii="Times New Roman" w:hAnsi="Times New Roman"/>
          <w:sz w:val="16"/>
          <w:szCs w:val="16"/>
          <w:lang w:eastAsia="x-none"/>
        </w:rPr>
      </w:pPr>
    </w:p>
    <w:p w:rsidR="00753287" w:rsidRPr="00BF165D" w:rsidRDefault="008B6853" w:rsidP="006E5396">
      <w:pPr>
        <w:tabs>
          <w:tab w:val="left" w:pos="284"/>
        </w:tabs>
        <w:suppressAutoHyphens/>
        <w:spacing w:after="0" w:line="240" w:lineRule="auto"/>
        <w:ind w:firstLine="709"/>
        <w:jc w:val="both"/>
        <w:rPr>
          <w:rFonts w:ascii="Times New Roman" w:hAnsi="Times New Roman"/>
          <w:sz w:val="26"/>
          <w:szCs w:val="26"/>
          <w:lang w:eastAsia="x-none"/>
        </w:rPr>
      </w:pPr>
      <w:r w:rsidRPr="002C49D3">
        <w:rPr>
          <w:rFonts w:ascii="Times New Roman" w:hAnsi="Times New Roman"/>
          <w:b/>
          <w:sz w:val="26"/>
          <w:szCs w:val="26"/>
          <w:lang w:eastAsia="x-none"/>
        </w:rPr>
        <w:t>5</w:t>
      </w:r>
      <w:r w:rsidR="00226908" w:rsidRPr="002C49D3">
        <w:rPr>
          <w:rFonts w:ascii="Times New Roman" w:hAnsi="Times New Roman"/>
          <w:b/>
          <w:sz w:val="26"/>
          <w:szCs w:val="26"/>
          <w:lang w:eastAsia="x-none"/>
        </w:rPr>
        <w:t>.2.</w:t>
      </w:r>
      <w:r w:rsidR="00226908" w:rsidRPr="00BF165D">
        <w:rPr>
          <w:rFonts w:ascii="Times New Roman" w:hAnsi="Times New Roman"/>
          <w:sz w:val="26"/>
          <w:szCs w:val="26"/>
          <w:lang w:eastAsia="x-none"/>
        </w:rPr>
        <w:t xml:space="preserve"> </w:t>
      </w:r>
      <w:r w:rsidR="00753287" w:rsidRPr="00BF165D">
        <w:rPr>
          <w:rFonts w:ascii="Times New Roman" w:hAnsi="Times New Roman"/>
          <w:sz w:val="26"/>
          <w:szCs w:val="26"/>
          <w:lang w:eastAsia="x-none"/>
        </w:rPr>
        <w:t xml:space="preserve">В ходе контрольного мероприятия </w:t>
      </w:r>
      <w:r w:rsidR="00753287" w:rsidRPr="00BF165D">
        <w:rPr>
          <w:rFonts w:ascii="Times New Roman" w:hAnsi="Times New Roman"/>
          <w:b/>
          <w:bCs/>
          <w:sz w:val="26"/>
          <w:szCs w:val="26"/>
          <w:lang w:eastAsia="x-none"/>
        </w:rPr>
        <w:t>«Проверка</w:t>
      </w:r>
      <w:r w:rsidR="00753287" w:rsidRPr="00BF165D">
        <w:rPr>
          <w:rFonts w:ascii="Times New Roman" w:hAnsi="Times New Roman"/>
          <w:sz w:val="26"/>
          <w:szCs w:val="26"/>
        </w:rPr>
        <w:t xml:space="preserve"> </w:t>
      </w:r>
      <w:r w:rsidR="00753287" w:rsidRPr="00BF165D">
        <w:rPr>
          <w:rFonts w:ascii="Times New Roman" w:hAnsi="Times New Roman"/>
          <w:b/>
          <w:bCs/>
          <w:sz w:val="26"/>
          <w:szCs w:val="26"/>
          <w:lang w:eastAsia="x-none"/>
        </w:rPr>
        <w:t xml:space="preserve">законности и результативности использования средств областного бюджета и соблюдения порядка управления и распоряжения имуществом, находящимся в государственной собственности Мурманской области, в государственном </w:t>
      </w:r>
      <w:r w:rsidR="00753287" w:rsidRPr="00BF165D">
        <w:rPr>
          <w:rFonts w:ascii="Times New Roman" w:hAnsi="Times New Roman"/>
          <w:b/>
          <w:bCs/>
          <w:sz w:val="26"/>
          <w:szCs w:val="26"/>
          <w:lang w:eastAsia="x-none"/>
        </w:rPr>
        <w:lastRenderedPageBreak/>
        <w:t>областном автономном учреждении социального обслуживания населения «Мурманский комплексный центр социального обслуживания населения» за 2017 – 2018 годы и истекший период 2019 года»</w:t>
      </w:r>
      <w:r w:rsidR="00753287" w:rsidRPr="00BF165D">
        <w:rPr>
          <w:rFonts w:ascii="Times New Roman" w:hAnsi="Times New Roman"/>
          <w:sz w:val="26"/>
          <w:szCs w:val="26"/>
          <w:lang w:eastAsia="x-none"/>
        </w:rPr>
        <w:t xml:space="preserve"> установлено следующее.</w:t>
      </w:r>
    </w:p>
    <w:p w:rsidR="00753287" w:rsidRPr="00BF165D" w:rsidRDefault="00753287" w:rsidP="006E5396">
      <w:pPr>
        <w:tabs>
          <w:tab w:val="left" w:pos="284"/>
        </w:tabs>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Общая численность граждан, получающих социальные услуги в ГОАУСОН «МКЦСОН», в проверяемом периоде сократилась на 197 человек (с 3 272 чел. в 2017 году до 3 075 чел. в 2018 году).</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Наиболее востребованными социальными услугами, в проверяемом периоде являлись социально-бытовые услуги, социально-медицинские услуги, социально-психологические услуги, социально-правовые услуги.</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В 2017 – 2018 годах исполнение государственных заданий по объему предоставляемых социальных услуг составило более 75 % от планируемого объема, чем соблюдено предельное значение, установленное приказом Министерства. Показатели, характеризующие качество предоставления государственных услуг, выполнены на 100,0 </w:t>
      </w:r>
      <w:r w:rsidR="003756B3">
        <w:rPr>
          <w:rFonts w:ascii="Times New Roman" w:hAnsi="Times New Roman"/>
          <w:sz w:val="26"/>
          <w:szCs w:val="26"/>
          <w:lang w:eastAsia="x-none"/>
        </w:rPr>
        <w:t>процентов</w:t>
      </w:r>
      <w:r w:rsidRPr="00BF165D">
        <w:rPr>
          <w:rFonts w:ascii="Times New Roman" w:hAnsi="Times New Roman"/>
          <w:sz w:val="26"/>
          <w:szCs w:val="26"/>
          <w:lang w:eastAsia="x-none"/>
        </w:rPr>
        <w:t>.</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Основным источником финансового обеспечения деятельности ГОАУСОН «МКЦСОН» (87,8 % – 89,1 %) является субсидия на выполнение государственного задания. Объем финансового обеспечения выполнения государственного задания, рассчитывался на основании нормативных затрат на оказание государственных услуг. Порядок определения нормативных затрат соблюден.</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Основной объем (92,0 % – 92,6 %) расходов ГОАУСОН «МКЦСОН» за счет субсидии на выполнение государственного задания, приходится на оплату труда и начисления на выплаты по оплате труда.</w:t>
      </w:r>
      <w:r w:rsidRPr="00BF165D">
        <w:rPr>
          <w:rFonts w:ascii="Times New Roman" w:hAnsi="Times New Roman"/>
          <w:sz w:val="26"/>
          <w:szCs w:val="26"/>
        </w:rPr>
        <w:t xml:space="preserve"> </w:t>
      </w:r>
      <w:r w:rsidRPr="00BF165D">
        <w:rPr>
          <w:rFonts w:ascii="Times New Roman" w:hAnsi="Times New Roman"/>
          <w:sz w:val="26"/>
          <w:szCs w:val="26"/>
          <w:lang w:eastAsia="x-none"/>
        </w:rPr>
        <w:t>При начислении ежемесячной стимулирующей выплаты за март 2018 года допущена переплата за март 2018 года в сумме 1,95 тыс. рублей в результате счетной ошибки.</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Проверкой расходования средств на коммунальные, хозяйственные и прочие расходы,</w:t>
      </w:r>
      <w:r w:rsidRPr="00BF165D">
        <w:rPr>
          <w:rFonts w:ascii="Times New Roman" w:hAnsi="Times New Roman"/>
          <w:sz w:val="26"/>
          <w:szCs w:val="26"/>
        </w:rPr>
        <w:t xml:space="preserve"> </w:t>
      </w:r>
      <w:r w:rsidRPr="00BF165D">
        <w:rPr>
          <w:rFonts w:ascii="Times New Roman" w:hAnsi="Times New Roman"/>
          <w:sz w:val="26"/>
          <w:szCs w:val="26"/>
          <w:lang w:eastAsia="x-none"/>
        </w:rPr>
        <w:t>на приобретение нефинансовых активов нарушений не установлено, фактов направления субсидий, полученных из областного бюджета, на цели, не связанные с выполнением государственного задания, не выявлено.</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Субсидии на иные цели, полученные ГОАУСОН «МКЦСОН» из областного бюджета, использованы в соответствии с условиями соглашений и целями их предоставления. Показатели результативности использования субсидий в целом достигнуты.</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Нарушений законодательства, содержащего нормы о порядке управления, распоряжения и обеспечения сохранности государственного имущества не выявлено.</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Проверкой соблюдения законодательства о размещении заказов на поставки товаров, выполнение работ, оказание услуг при заключении государственных контрактов и гражданско-правовых договоров, в том числе правомерности выбора способа размещения заказов на поставку товаров и выполнение работ за счет средств областного бюджета, нарушений не установлено.</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t>Выявлены нарушения и недостатки в деятельности учреждения, допущенные при формировании штатного расписания, утверждении норм обеспечения питанием для граждан, посещающих отделение дневного пребывания молодых инвалидов, утверждении положения об оплате труда работников. Кроме того, выявлены недостатки Стандарта социальных услуг, входящих в перечень социальных услуг, предоставляемых поставщиками социальных услуг в полустационарной форме социального обслуживания, утвержденного постановлением Правительства Мурманской области.</w:t>
      </w:r>
    </w:p>
    <w:p w:rsidR="00753287" w:rsidRPr="00BF165D" w:rsidRDefault="00753287" w:rsidP="00753287">
      <w:pPr>
        <w:suppressAutoHyphens/>
        <w:spacing w:after="0" w:line="240" w:lineRule="auto"/>
        <w:ind w:firstLine="709"/>
        <w:jc w:val="both"/>
        <w:rPr>
          <w:rFonts w:ascii="Times New Roman" w:hAnsi="Times New Roman"/>
          <w:sz w:val="26"/>
          <w:szCs w:val="26"/>
          <w:lang w:eastAsia="x-none"/>
        </w:rPr>
      </w:pPr>
      <w:r w:rsidRPr="00BF165D">
        <w:rPr>
          <w:rFonts w:ascii="Times New Roman" w:hAnsi="Times New Roman"/>
          <w:sz w:val="26"/>
          <w:szCs w:val="26"/>
          <w:lang w:eastAsia="x-none"/>
        </w:rPr>
        <w:lastRenderedPageBreak/>
        <w:t>По результатам контрольного мероприятия направлены информационные письма с предложениями в Правительство Мурманской области, Министерство</w:t>
      </w:r>
      <w:r w:rsidRPr="00BF165D">
        <w:rPr>
          <w:rFonts w:ascii="Times New Roman" w:hAnsi="Times New Roman"/>
          <w:sz w:val="26"/>
          <w:szCs w:val="26"/>
        </w:rPr>
        <w:t xml:space="preserve"> </w:t>
      </w:r>
      <w:r w:rsidRPr="00BF165D">
        <w:rPr>
          <w:rFonts w:ascii="Times New Roman" w:hAnsi="Times New Roman"/>
          <w:sz w:val="26"/>
          <w:szCs w:val="26"/>
          <w:lang w:eastAsia="x-none"/>
        </w:rPr>
        <w:t>социального развития Мурманской области, в ГОАУСОН «Мурманский комплексный центр социального обслуживания населения».</w:t>
      </w:r>
    </w:p>
    <w:p w:rsidR="00226908" w:rsidRPr="00BF165D" w:rsidRDefault="00226908" w:rsidP="00753287">
      <w:pPr>
        <w:suppressAutoHyphens/>
        <w:spacing w:after="0" w:line="240" w:lineRule="auto"/>
        <w:ind w:firstLine="709"/>
        <w:jc w:val="both"/>
        <w:rPr>
          <w:rFonts w:ascii="Times New Roman" w:hAnsi="Times New Roman"/>
          <w:sz w:val="26"/>
          <w:szCs w:val="26"/>
          <w:lang w:eastAsia="x-none"/>
        </w:rPr>
      </w:pPr>
    </w:p>
    <w:p w:rsidR="00A6197B" w:rsidRPr="00BF165D" w:rsidRDefault="008B6853" w:rsidP="006E5396">
      <w:pPr>
        <w:suppressAutoHyphens/>
        <w:spacing w:after="0" w:line="240" w:lineRule="auto"/>
        <w:ind w:firstLine="709"/>
        <w:jc w:val="center"/>
        <w:rPr>
          <w:rFonts w:ascii="Times New Roman" w:hAnsi="Times New Roman"/>
          <w:sz w:val="26"/>
          <w:szCs w:val="26"/>
          <w:lang w:eastAsia="x-none"/>
        </w:rPr>
      </w:pPr>
      <w:r w:rsidRPr="005167AD">
        <w:rPr>
          <w:rFonts w:ascii="Times New Roman" w:hAnsi="Times New Roman" w:cs="Arial"/>
          <w:b/>
          <w:bCs/>
          <w:sz w:val="26"/>
          <w:szCs w:val="26"/>
        </w:rPr>
        <w:t>6</w:t>
      </w:r>
      <w:r w:rsidR="00A6197B" w:rsidRPr="005167AD">
        <w:rPr>
          <w:rFonts w:ascii="Times New Roman" w:hAnsi="Times New Roman" w:cs="Arial"/>
          <w:b/>
          <w:bCs/>
          <w:sz w:val="26"/>
          <w:szCs w:val="26"/>
        </w:rPr>
        <w:t>. Основные результаты проверок использования средств областного бюджета и бюджета ТФОМС в сфере</w:t>
      </w:r>
      <w:r w:rsidR="00A6197B" w:rsidRPr="005167AD">
        <w:rPr>
          <w:rFonts w:ascii="Times New Roman" w:hAnsi="Times New Roman"/>
          <w:b/>
          <w:sz w:val="26"/>
          <w:szCs w:val="26"/>
          <w:lang w:eastAsia="x-none"/>
        </w:rPr>
        <w:t xml:space="preserve"> здравоохранения</w:t>
      </w:r>
    </w:p>
    <w:p w:rsidR="00226908" w:rsidRPr="00CE3B84" w:rsidRDefault="00226908" w:rsidP="00753287">
      <w:pPr>
        <w:suppressAutoHyphens/>
        <w:spacing w:after="0" w:line="240" w:lineRule="auto"/>
        <w:ind w:firstLine="709"/>
        <w:jc w:val="both"/>
        <w:rPr>
          <w:rFonts w:ascii="Times New Roman" w:hAnsi="Times New Roman"/>
          <w:sz w:val="14"/>
          <w:szCs w:val="14"/>
          <w:lang w:eastAsia="x-none"/>
        </w:rPr>
      </w:pPr>
    </w:p>
    <w:p w:rsidR="00A6197B" w:rsidRPr="00BF165D" w:rsidRDefault="008B6853" w:rsidP="00A6197B">
      <w:pPr>
        <w:suppressAutoHyphens/>
        <w:spacing w:after="0" w:line="240" w:lineRule="auto"/>
        <w:ind w:firstLine="709"/>
        <w:jc w:val="both"/>
        <w:rPr>
          <w:rFonts w:ascii="Times New Roman" w:hAnsi="Times New Roman"/>
          <w:bCs/>
          <w:sz w:val="26"/>
          <w:szCs w:val="26"/>
          <w:lang w:eastAsia="x-none"/>
        </w:rPr>
      </w:pPr>
      <w:r w:rsidRPr="002C49D3">
        <w:rPr>
          <w:rFonts w:ascii="Times New Roman" w:hAnsi="Times New Roman"/>
          <w:b/>
          <w:bCs/>
          <w:sz w:val="26"/>
          <w:szCs w:val="26"/>
          <w:lang w:eastAsia="x-none"/>
        </w:rPr>
        <w:t>6</w:t>
      </w:r>
      <w:r w:rsidR="00A6197B" w:rsidRPr="002C49D3">
        <w:rPr>
          <w:rFonts w:ascii="Times New Roman" w:hAnsi="Times New Roman"/>
          <w:b/>
          <w:bCs/>
          <w:sz w:val="26"/>
          <w:szCs w:val="26"/>
          <w:lang w:eastAsia="x-none"/>
        </w:rPr>
        <w:t>.1.</w:t>
      </w:r>
      <w:r w:rsidR="00A6197B" w:rsidRPr="00A6197B">
        <w:rPr>
          <w:rFonts w:ascii="Times New Roman" w:hAnsi="Times New Roman"/>
          <w:sz w:val="26"/>
          <w:szCs w:val="26"/>
          <w:lang w:eastAsia="x-none"/>
        </w:rPr>
        <w:t xml:space="preserve"> </w:t>
      </w:r>
      <w:r w:rsidR="00A6197B" w:rsidRPr="00BF165D">
        <w:rPr>
          <w:rFonts w:ascii="Times New Roman" w:hAnsi="Times New Roman"/>
          <w:sz w:val="26"/>
          <w:szCs w:val="26"/>
          <w:lang w:eastAsia="x-none"/>
        </w:rPr>
        <w:t xml:space="preserve">В ходе контрольного мероприятия </w:t>
      </w:r>
      <w:r w:rsidR="00A6197B" w:rsidRPr="00A6197B">
        <w:rPr>
          <w:rFonts w:ascii="Times New Roman" w:hAnsi="Times New Roman"/>
          <w:b/>
          <w:bCs/>
          <w:sz w:val="26"/>
          <w:szCs w:val="26"/>
          <w:lang w:eastAsia="x-none"/>
        </w:rPr>
        <w:t>Проверка законности и результативности (эффективности и экономности) использования средств областного бюджета и бюджета Территориального фонда обязательного медицинского страхования Мурманской области и средств, поступивших от использования имущества, находящегося в оперативном управлении, Государственного областного бюджетного учреждения здравоохранения «Кольская центральная районная больница»</w:t>
      </w:r>
      <w:r w:rsidR="00A6197B" w:rsidRPr="00BF165D">
        <w:rPr>
          <w:rFonts w:ascii="Times New Roman" w:hAnsi="Times New Roman"/>
          <w:bCs/>
          <w:sz w:val="26"/>
          <w:szCs w:val="26"/>
          <w:lang w:eastAsia="x-none"/>
        </w:rPr>
        <w:t xml:space="preserve"> установлено следующее.</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В ходе контрольного мероприятия установлен ряд нарушений и недостатков, допущенных ГОБУЗ «Кольская ЦРБ» при осуществлении финансово-хозяйственной деятельности, отмечены причины возникновения просроченной кредиторской задолженности учреждения и отдельные резервы финансового оздоровления ГОБУЗ «Кольская ЦРБ».</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Также в ходе мероприятия установлено неосуществление бюджетных полномочий главного распорядителя (распорядителя) бюджетных средств при  реализации постановления Правительства Мурманской области от 27.10.2005 № 405-ПП/13, приказа Минздрава М</w:t>
      </w:r>
      <w:r w:rsidR="009D0671">
        <w:rPr>
          <w:rFonts w:ascii="Times New Roman" w:hAnsi="Times New Roman"/>
          <w:sz w:val="26"/>
          <w:szCs w:val="26"/>
          <w:lang w:eastAsia="x-none"/>
        </w:rPr>
        <w:t>урманской области</w:t>
      </w:r>
      <w:r w:rsidRPr="00A6197B">
        <w:rPr>
          <w:rFonts w:ascii="Times New Roman" w:hAnsi="Times New Roman"/>
          <w:sz w:val="26"/>
          <w:szCs w:val="26"/>
          <w:lang w:eastAsia="x-none"/>
        </w:rPr>
        <w:t xml:space="preserve"> от 31.08.2015 № 406, постановления Правительства Мурманской области от 24.11.2011 № 584-ПП (отсутствие утвержденного государственного задания на оказание государственных услуг Учреждением по выдаче (отпуску) специальных питательных смесей кормящим матерям и детям в возрасте до трех лет, и услуги по выдаче продуктовых наборов больным туберкулезом), в результате недофинансирование учреждения по средствам областного бюджета составило 550,5 тыс. рублей. </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Счетной палатой в адрес Министерства здравоохранения направлены предложения по совершенствованию нормативного правового регулирования финансового обеспечения медицинских учреждений Мурманской области.</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По результатам рассмотрения представления Счетной палаты от 25.04.2019 № 05-02/206 ГОБУЗ «Кольская ЦРБ» восстановило в бюджет ТФОМС Мурманской области средства ОМС, использованные не по целевому назначению в сумме 2,7 тыс. рублей, приказом главного врача ГОБУЗ «Кольская ЦРБ» от 21.05.2019 № 377 утвержден План мероприятий по исполнению предложений КСП Мурманской области.</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По результатам рассмотрения в судебном порядке 2-х протоколов об административных правонарушениях (нецелевое расходование бюджетных средств) назначены и оплачены в полном объеме административные штрафы на общую сумму 20,7 тыс. рублей.</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По обращению Счетной палаты Министерством здравоохранения Мурманской области установлены сроки и форма предоставления отчетности о результатах выполнения условий соглашения о предоставлении субсидий на иные цели.</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 xml:space="preserve">Государственной инспекцией труда в Мурманской области на основании информации Счетной палаты проведена внеплановая проверка ГОБУЗ «Кольская </w:t>
      </w:r>
      <w:r w:rsidRPr="00A6197B">
        <w:rPr>
          <w:rFonts w:ascii="Times New Roman" w:hAnsi="Times New Roman"/>
          <w:sz w:val="26"/>
          <w:szCs w:val="26"/>
          <w:lang w:eastAsia="x-none"/>
        </w:rPr>
        <w:lastRenderedPageBreak/>
        <w:t>ЦРБ», выдано обязательное для исполнения предписание по устранению нарушений трудового законодательства.</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ОМВД России по Кольскому району Мурманской области по фактам нарушений, выявленных Счетной палатой, в настоящее время проводится проверка.</w:t>
      </w:r>
    </w:p>
    <w:p w:rsidR="00A6197B" w:rsidRPr="00CE3B84" w:rsidRDefault="00A6197B" w:rsidP="00A6197B">
      <w:pPr>
        <w:suppressAutoHyphens/>
        <w:spacing w:after="0" w:line="240" w:lineRule="auto"/>
        <w:ind w:firstLine="709"/>
        <w:jc w:val="both"/>
        <w:rPr>
          <w:rFonts w:ascii="Times New Roman" w:hAnsi="Times New Roman"/>
          <w:sz w:val="16"/>
          <w:szCs w:val="16"/>
          <w:lang w:eastAsia="x-none"/>
        </w:rPr>
      </w:pPr>
    </w:p>
    <w:p w:rsidR="00A6197B" w:rsidRPr="00A6197B" w:rsidRDefault="008B6853" w:rsidP="00A6197B">
      <w:pPr>
        <w:suppressAutoHyphens/>
        <w:spacing w:after="0" w:line="240" w:lineRule="auto"/>
        <w:ind w:firstLine="709"/>
        <w:jc w:val="both"/>
        <w:rPr>
          <w:rFonts w:ascii="Times New Roman" w:hAnsi="Times New Roman"/>
          <w:bCs/>
          <w:sz w:val="26"/>
          <w:szCs w:val="26"/>
          <w:lang w:eastAsia="x-none"/>
        </w:rPr>
      </w:pPr>
      <w:r w:rsidRPr="002C49D3">
        <w:rPr>
          <w:rFonts w:ascii="Times New Roman" w:hAnsi="Times New Roman"/>
          <w:b/>
          <w:bCs/>
          <w:sz w:val="26"/>
          <w:szCs w:val="26"/>
          <w:lang w:eastAsia="x-none"/>
        </w:rPr>
        <w:t>6</w:t>
      </w:r>
      <w:r w:rsidR="00A6197B" w:rsidRPr="002C49D3">
        <w:rPr>
          <w:rFonts w:ascii="Times New Roman" w:hAnsi="Times New Roman"/>
          <w:b/>
          <w:bCs/>
          <w:sz w:val="26"/>
          <w:szCs w:val="26"/>
          <w:lang w:eastAsia="x-none"/>
        </w:rPr>
        <w:t>.2.</w:t>
      </w:r>
      <w:r w:rsidR="00A6197B" w:rsidRPr="00A6197B">
        <w:rPr>
          <w:rFonts w:ascii="Times New Roman" w:hAnsi="Times New Roman"/>
          <w:sz w:val="26"/>
          <w:szCs w:val="26"/>
          <w:lang w:eastAsia="x-none"/>
        </w:rPr>
        <w:t xml:space="preserve"> </w:t>
      </w:r>
      <w:r w:rsidR="00A6197B" w:rsidRPr="00BF165D">
        <w:rPr>
          <w:rFonts w:ascii="Times New Roman" w:hAnsi="Times New Roman"/>
          <w:sz w:val="26"/>
          <w:szCs w:val="26"/>
          <w:lang w:eastAsia="x-none"/>
        </w:rPr>
        <w:t>В ходе контрольного мероприятия</w:t>
      </w:r>
      <w:r w:rsidR="00A6197B" w:rsidRPr="00BF165D">
        <w:rPr>
          <w:rFonts w:ascii="Times New Roman" w:hAnsi="Times New Roman"/>
          <w:b/>
          <w:bCs/>
          <w:sz w:val="26"/>
          <w:szCs w:val="26"/>
          <w:lang w:eastAsia="x-none"/>
        </w:rPr>
        <w:t xml:space="preserve"> </w:t>
      </w:r>
      <w:r w:rsidR="00A6197B" w:rsidRPr="00A6197B">
        <w:rPr>
          <w:rFonts w:ascii="Times New Roman" w:hAnsi="Times New Roman"/>
          <w:b/>
          <w:bCs/>
          <w:sz w:val="26"/>
          <w:szCs w:val="26"/>
          <w:lang w:eastAsia="x-none"/>
        </w:rPr>
        <w:t>Проверка законности и результативности (эффективности и экономности) использования средств областного бюджета и бюджета Территориального фонда обязательного медицинского страхования Мурманской области, направленных на оказание бесплатной медицинской помощи населению Терского района Мурманской области, в 2018 году и истекшем периоде 2019 года»</w:t>
      </w:r>
      <w:r w:rsidR="00A6197B" w:rsidRPr="00BF165D">
        <w:rPr>
          <w:rFonts w:ascii="Times New Roman" w:hAnsi="Times New Roman"/>
          <w:bCs/>
          <w:sz w:val="26"/>
          <w:szCs w:val="26"/>
          <w:lang w:eastAsia="x-none"/>
        </w:rPr>
        <w:t xml:space="preserve"> установлено следующее.</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По результатам мероприятия установлены нарушения принципа эффективности использования бюджетных средств, предусмотренного статьей 34 Бюджетного кодекса РФ, а именно:</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 xml:space="preserve"> </w:t>
      </w:r>
      <w:r w:rsidR="00583FB9">
        <w:rPr>
          <w:rFonts w:ascii="Times New Roman" w:hAnsi="Times New Roman"/>
          <w:sz w:val="26"/>
          <w:szCs w:val="26"/>
          <w:lang w:eastAsia="x-none"/>
        </w:rPr>
        <w:sym w:font="Symbol" w:char="F0B7"/>
      </w:r>
      <w:r w:rsidRPr="00A6197B">
        <w:rPr>
          <w:rFonts w:ascii="Times New Roman" w:hAnsi="Times New Roman"/>
          <w:sz w:val="26"/>
          <w:szCs w:val="26"/>
          <w:lang w:eastAsia="x-none"/>
        </w:rPr>
        <w:t xml:space="preserve"> отдельные виды медицинского оборудования, приобретенного в проверяемом периоде для оснащения ФАП с. Чапома Терского филиала ГОБУЗ «Кандалакшская ЦРБ», не используются или не могут быть использованы по назначению;</w:t>
      </w:r>
    </w:p>
    <w:p w:rsidR="00A6197B" w:rsidRPr="00A6197B" w:rsidRDefault="00583FB9" w:rsidP="00A6197B">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A6197B" w:rsidRPr="00A6197B">
        <w:rPr>
          <w:rFonts w:ascii="Times New Roman" w:hAnsi="Times New Roman"/>
          <w:sz w:val="26"/>
          <w:szCs w:val="26"/>
          <w:lang w:eastAsia="x-none"/>
        </w:rPr>
        <w:t xml:space="preserve"> медицинское оборудование, приобретенное в 2019 году за счет средств Резервного фонда Правительства Мурманской области стоимостью 61,2 тыс. рублей, на дату проведения обследования (25.09.2019) не использовалось;</w:t>
      </w:r>
    </w:p>
    <w:p w:rsidR="00A6197B" w:rsidRPr="00A6197B" w:rsidRDefault="00583FB9" w:rsidP="00A6197B">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A6197B" w:rsidRPr="00A6197B">
        <w:rPr>
          <w:rFonts w:ascii="Times New Roman" w:hAnsi="Times New Roman"/>
          <w:sz w:val="26"/>
          <w:szCs w:val="26"/>
          <w:lang w:eastAsia="x-none"/>
        </w:rPr>
        <w:t xml:space="preserve"> оплата коммунальных услуг, приходящихся на пустующие помещения трех зданий в </w:t>
      </w:r>
      <w:proofErr w:type="spellStart"/>
      <w:r w:rsidR="00A6197B" w:rsidRPr="00A6197B">
        <w:rPr>
          <w:rFonts w:ascii="Times New Roman" w:hAnsi="Times New Roman"/>
          <w:sz w:val="26"/>
          <w:szCs w:val="26"/>
          <w:lang w:eastAsia="x-none"/>
        </w:rPr>
        <w:t>пгт</w:t>
      </w:r>
      <w:proofErr w:type="spellEnd"/>
      <w:r w:rsidR="00A6197B" w:rsidRPr="00A6197B">
        <w:rPr>
          <w:rFonts w:ascii="Times New Roman" w:hAnsi="Times New Roman"/>
          <w:sz w:val="26"/>
          <w:szCs w:val="26"/>
          <w:lang w:eastAsia="x-none"/>
        </w:rPr>
        <w:t>. Умба (</w:t>
      </w:r>
      <w:proofErr w:type="spellStart"/>
      <w:r w:rsidR="00A6197B" w:rsidRPr="00A6197B">
        <w:rPr>
          <w:rFonts w:ascii="Times New Roman" w:hAnsi="Times New Roman"/>
          <w:sz w:val="26"/>
          <w:szCs w:val="26"/>
          <w:lang w:eastAsia="x-none"/>
        </w:rPr>
        <w:t>расчетно</w:t>
      </w:r>
      <w:proofErr w:type="spellEnd"/>
      <w:r w:rsidR="00A6197B" w:rsidRPr="00A6197B">
        <w:rPr>
          <w:rFonts w:ascii="Times New Roman" w:hAnsi="Times New Roman"/>
          <w:sz w:val="26"/>
          <w:szCs w:val="26"/>
          <w:lang w:eastAsia="x-none"/>
        </w:rPr>
        <w:t xml:space="preserve"> в 2018 году только за услуги по теплоснабжению - 1 407,3 тыс. рублей).</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Кроме того, Счетной палатой отмечены нарушения требований к структуре тарифа на оплату медицинской помощи (недофинансирование Терского филиала по лекарственному обеспечению и питанию), нарушения порядка и условий оплаты труда работников государственного бюджетного учреждения в части недофинансирования выплат в целях достижения целевых показателей по заработной плате.</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Результаты анкетирования, проведенного Счетной палатой среди пациентов Терского филиала, не соответствуют показателям медицинской статистики в части удовлетворенности населения медицинской помощью, и соответствуют лишь по критерию оценки обеспеченностью врачами и медперсоналом, находящемуся на низком уровне.</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В части оснащенности Терского филиала Счетная палата отметила, что большая часть оборудования отдела клинической лабораторной диагностики Терского филиала не обеспечивает качество и достоверность результатов проводимых исследований (анализов) на современном уровне; из трех автомобилей скорой медицинской помощи, имеющихся в пункте, фактически исправен и эксплуатируется один, фельдшерский состав скорой медицинской помощи не укомплектован (4 ставки вакантны), что влияет на доступность круглосуточного оказания скорой медицинской помощи в Терском районе.</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 xml:space="preserve">Результаты проведенных обследований в структурных подразделениях Терского филиала, результаты опроса граждан, фактические объемы медицинской помощи, оказанной Терским филиалом, исследование штатной численности Терского филиала, в основном указывают на недостатки деятельности первичного звена медицинской помощи. </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 xml:space="preserve">Также в ходе мероприятия установлено неосуществление бюджетных полномочий главного распорядителя (распорядителя) бюджетных средств при  </w:t>
      </w:r>
      <w:r w:rsidRPr="00A6197B">
        <w:rPr>
          <w:rFonts w:ascii="Times New Roman" w:hAnsi="Times New Roman"/>
          <w:sz w:val="26"/>
          <w:szCs w:val="26"/>
          <w:lang w:eastAsia="x-none"/>
        </w:rPr>
        <w:lastRenderedPageBreak/>
        <w:t xml:space="preserve">реализации постановления Правительства Мурманской области от 27.10.2005 № 405-ПП/13, приказа Минздрава МО от 31.08.2015 № 406, постановления Правительства Мурманской области от 24.11.2011 № 584-ПП (отсутствие утвержденного государственного задания на оказание государственных услуг Учреждением по выдаче (отпуску) специальных питательных смесей кормящим матерям и детям в возрасте до трех лет, и услуги по выдаче продуктовых наборов больным туберкулезом), в результате недофинансирование учреждения по средствам областного бюджета составило 475,4 тыс. рублей. </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Счетной палатой в адрес Министерства здравоохранения направлены предложения по совершенствованию нормативного правового регулирования финансового обеспечения медицинских учреждений Мурманской области. Информационное письмо о результатах контрольного мероприятия направлено также в Правительство Мурманской области.</w:t>
      </w:r>
    </w:p>
    <w:p w:rsidR="00A6197B" w:rsidRPr="00A6197B" w:rsidRDefault="00A6197B" w:rsidP="00A6197B">
      <w:pPr>
        <w:suppressAutoHyphens/>
        <w:spacing w:after="0" w:line="240" w:lineRule="auto"/>
        <w:ind w:firstLine="709"/>
        <w:jc w:val="both"/>
        <w:rPr>
          <w:rFonts w:ascii="Times New Roman" w:hAnsi="Times New Roman"/>
          <w:sz w:val="26"/>
          <w:szCs w:val="26"/>
          <w:lang w:eastAsia="x-none"/>
        </w:rPr>
      </w:pPr>
      <w:r w:rsidRPr="00A6197B">
        <w:rPr>
          <w:rFonts w:ascii="Times New Roman" w:hAnsi="Times New Roman"/>
          <w:sz w:val="26"/>
          <w:szCs w:val="26"/>
          <w:lang w:eastAsia="x-none"/>
        </w:rPr>
        <w:t>На предложения Счетной палаты, направленные в ГОБУЗ «Кандалакшская ЦРБ», учреждением представлена информация о принятии комплекса мер по устранению недостатков в финансово-хозяйственной деятельности медицинской организации и устранению нарушения принципа эффективности использования бюджетных средств, установленного статьей 34 Бюджетного кодекса РФ.</w:t>
      </w:r>
    </w:p>
    <w:p w:rsidR="00226908" w:rsidRPr="005879C9" w:rsidRDefault="00226908" w:rsidP="00753287">
      <w:pPr>
        <w:suppressAutoHyphens/>
        <w:spacing w:after="0" w:line="240" w:lineRule="auto"/>
        <w:ind w:firstLine="709"/>
        <w:jc w:val="both"/>
        <w:rPr>
          <w:rFonts w:ascii="Times New Roman" w:hAnsi="Times New Roman"/>
          <w:sz w:val="16"/>
          <w:szCs w:val="16"/>
          <w:lang w:eastAsia="x-none"/>
        </w:rPr>
      </w:pPr>
    </w:p>
    <w:p w:rsidR="00226908" w:rsidRPr="005167AD" w:rsidRDefault="005167AD" w:rsidP="00515CFF">
      <w:pPr>
        <w:keepNext/>
        <w:spacing w:before="120" w:after="60" w:line="240" w:lineRule="auto"/>
        <w:jc w:val="center"/>
        <w:outlineLvl w:val="2"/>
        <w:rPr>
          <w:rFonts w:ascii="Times New Roman" w:hAnsi="Times New Roman" w:cs="Arial"/>
          <w:b/>
          <w:bCs/>
          <w:sz w:val="26"/>
          <w:szCs w:val="26"/>
        </w:rPr>
      </w:pPr>
      <w:r w:rsidRPr="005167AD">
        <w:rPr>
          <w:rFonts w:ascii="Times New Roman" w:hAnsi="Times New Roman" w:cs="Arial"/>
          <w:b/>
          <w:bCs/>
          <w:sz w:val="26"/>
          <w:szCs w:val="26"/>
        </w:rPr>
        <w:t>7</w:t>
      </w:r>
      <w:r w:rsidR="00226908" w:rsidRPr="005167AD">
        <w:rPr>
          <w:rFonts w:ascii="Times New Roman" w:hAnsi="Times New Roman" w:cs="Arial"/>
          <w:b/>
          <w:bCs/>
          <w:sz w:val="26"/>
          <w:szCs w:val="26"/>
        </w:rPr>
        <w:t>. Основные результаты аудита эффективности</w:t>
      </w:r>
    </w:p>
    <w:p w:rsidR="00226908" w:rsidRPr="00226908" w:rsidRDefault="005167AD" w:rsidP="008612BE">
      <w:pPr>
        <w:tabs>
          <w:tab w:val="left" w:pos="284"/>
        </w:tabs>
        <w:suppressAutoHyphens/>
        <w:spacing w:after="0" w:line="240" w:lineRule="auto"/>
        <w:ind w:firstLine="709"/>
        <w:jc w:val="both"/>
        <w:rPr>
          <w:rFonts w:ascii="Times New Roman" w:hAnsi="Times New Roman"/>
          <w:sz w:val="26"/>
          <w:szCs w:val="26"/>
          <w:lang w:eastAsia="x-none"/>
        </w:rPr>
      </w:pPr>
      <w:r w:rsidRPr="002C49D3">
        <w:rPr>
          <w:rFonts w:ascii="Times New Roman" w:hAnsi="Times New Roman"/>
          <w:b/>
          <w:sz w:val="26"/>
          <w:szCs w:val="26"/>
          <w:lang w:eastAsia="x-none"/>
        </w:rPr>
        <w:t>7</w:t>
      </w:r>
      <w:r w:rsidR="00226908" w:rsidRPr="002C49D3">
        <w:rPr>
          <w:rFonts w:ascii="Times New Roman" w:hAnsi="Times New Roman"/>
          <w:b/>
          <w:sz w:val="26"/>
          <w:szCs w:val="26"/>
          <w:lang w:eastAsia="x-none"/>
        </w:rPr>
        <w:t>.1.</w:t>
      </w:r>
      <w:r w:rsidR="00226908" w:rsidRPr="00BF165D">
        <w:rPr>
          <w:rFonts w:ascii="Times New Roman" w:hAnsi="Times New Roman"/>
          <w:sz w:val="26"/>
          <w:szCs w:val="26"/>
          <w:lang w:eastAsia="x-none"/>
        </w:rPr>
        <w:t xml:space="preserve"> </w:t>
      </w:r>
      <w:r w:rsidR="00226908" w:rsidRPr="00226908">
        <w:rPr>
          <w:rFonts w:ascii="Times New Roman" w:hAnsi="Times New Roman"/>
          <w:sz w:val="26"/>
          <w:szCs w:val="26"/>
          <w:lang w:eastAsia="x-none"/>
        </w:rPr>
        <w:t>В 2019 году проведен «</w:t>
      </w:r>
      <w:r w:rsidR="00226908" w:rsidRPr="00226908">
        <w:rPr>
          <w:rFonts w:ascii="Times New Roman" w:hAnsi="Times New Roman"/>
          <w:b/>
          <w:bCs/>
          <w:sz w:val="26"/>
          <w:szCs w:val="26"/>
          <w:lang w:eastAsia="x-none"/>
        </w:rPr>
        <w:t>Аудит эффективности использования бюджетных средств в 2016 – 2018 годах на модернизацию материально-технической базы подразделений Государственной противопожарной службы Мурманской области в рамках государственной программы Мурманской области «Обеспечение общественного порядка и безопасности населения региона</w:t>
      </w:r>
      <w:r w:rsidR="00226908" w:rsidRPr="00226908">
        <w:rPr>
          <w:rFonts w:ascii="Times New Roman" w:hAnsi="Times New Roman"/>
          <w:sz w:val="26"/>
          <w:szCs w:val="26"/>
          <w:lang w:eastAsia="x-none"/>
        </w:rPr>
        <w:t>»</w:t>
      </w:r>
      <w:r w:rsidR="00A23C7E">
        <w:rPr>
          <w:rFonts w:ascii="Times New Roman" w:hAnsi="Times New Roman"/>
          <w:sz w:val="26"/>
          <w:szCs w:val="26"/>
          <w:lang w:eastAsia="x-none"/>
        </w:rPr>
        <w:t>.</w:t>
      </w:r>
    </w:p>
    <w:p w:rsidR="00226908" w:rsidRPr="00226908" w:rsidRDefault="00226908" w:rsidP="008612BE">
      <w:pPr>
        <w:tabs>
          <w:tab w:val="left" w:pos="284"/>
        </w:tabs>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В ходе аудита установлено следующее.</w:t>
      </w:r>
    </w:p>
    <w:p w:rsidR="00226908" w:rsidRPr="00226908" w:rsidRDefault="00226908" w:rsidP="008612BE">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За период 2016 – 2018 годов общая сумма бюджетных расходов на реализацию мероприятий по модернизации материально-технической базы подразделений ГПС Мурманской области составила 344 200,7 тыс. рублей.</w:t>
      </w:r>
    </w:p>
    <w:p w:rsidR="00226908" w:rsidRPr="00226908"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В составе общего объема бюджетных расходов:</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непосредственно на оснащение подразделений ГПС Мурманской области средствами связи, транспортными средствами, оборудованием ГДЗС и прочим оборудованием и средствами для тушения пожаров направлено 84 016,6 тыс. рублей, из которых 60 111,0 тыс. рублей (71,6 %) – на приобретение пожарных автомобилей;</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расходы, связанные с созданием системы обеспечения вызова экстренных оперативных служб по единому номеру «112» составили 111 521,4 тыс. рублей;</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капитальные вложения в объекты недвижимого имущества государственной собственности (бюджетные инвестиции) составили 148 644,2 тыс. рублей. Доля бюджетных инвестиций в объекты капитального строительства государственной (муниципальной) собственности в общем объеме кассовых расходов составила: в 2016 году 63,4 %, в 2017 году 70,1 %, в 2018 году 15,2 %.</w:t>
      </w:r>
    </w:p>
    <w:p w:rsidR="00226908" w:rsidRPr="00226908"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Организация исполнения бюджетных расходов осуществлялась объектами контрольного мероприятия в соответствии с требованиями бюджетного законодательства.</w:t>
      </w:r>
    </w:p>
    <w:p w:rsidR="00226908" w:rsidRPr="00226908"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Фактические значения целевых показателей, характеризующих реализацию основного мероприятия 1 «Модернизация материально-технической базы подразделений ГПС Мурманской области», достигнутые в 2016 – 2018 исследуемых годах, в основном соответствуют плановым или превышают их.</w:t>
      </w:r>
    </w:p>
    <w:p w:rsidR="00226908" w:rsidRPr="00226908"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lastRenderedPageBreak/>
        <w:t xml:space="preserve">Причинами недостижения отдельных целевых показателей являются: </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неоперативно поступающая информация и сложные условия тушения пожаров, в том числе неблагоприятные погодные условия;</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неисправность пожарных гидрантов (не все организации, отвечающие за их содержание, поддерживают пожарные гидранты в исправном состоянии, проводят своевременные проверки на водоотдачу);</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рост количества поджогов на неэксплуатируемых зданиях и постройках;</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нарушение правил устройства и эксплуатации транспортных средств;</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неукомплектованность операторским персоналом ЕДДС (в том числе вследствие недостаточности финансирования на муниципальном уровне).</w:t>
      </w:r>
    </w:p>
    <w:p w:rsidR="00583FB9"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 xml:space="preserve">Создание в Мурманской области центра обработки вызовов административного центра и единых дежурно-диспетчерских служб муниципальных образований, необходимых для функционирования Системы-112, завершено. </w:t>
      </w:r>
    </w:p>
    <w:p w:rsidR="00226908" w:rsidRPr="00226908"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В тоже время:</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не соблюден срок завершения работ по созданию Системы-112 (2017 год), определенный постановлением Правительства Российской Федерации от 21 ноября 2011 года № 958 и планом организационно-технических мероприятий по созданию Системы-112 на территории Мурманской области, утвержденным постановлением Правительства Мурманской области от 17 декабря 2012 года № 640-ПП, – Система-112 введена в опытную эксплуатацию на всей территории Мурманской области только с 1 ноября 2018 года;</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в отдельных муниципальных образованиях не завершена работа по заключению соглашений о взаимодействии ЕДДС муниципальных образований с ведомственными ДДС в рамках Системы-112;</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w:t>
      </w:r>
      <w:r w:rsidR="00226908" w:rsidRPr="00226908">
        <w:rPr>
          <w:rFonts w:ascii="Times New Roman" w:hAnsi="Times New Roman"/>
          <w:sz w:val="26"/>
          <w:szCs w:val="26"/>
          <w:lang w:eastAsia="x-none" w:bidi="ru-RU"/>
        </w:rPr>
        <w:t>штаты Системы-112 и взаимодействующих ЕДДС</w:t>
      </w:r>
      <w:r w:rsidR="00226908" w:rsidRPr="00226908">
        <w:rPr>
          <w:rFonts w:ascii="Times New Roman" w:hAnsi="Times New Roman"/>
          <w:sz w:val="26"/>
          <w:szCs w:val="26"/>
          <w:lang w:eastAsia="x-none"/>
        </w:rPr>
        <w:t xml:space="preserve"> муниципальных образований</w:t>
      </w:r>
      <w:r w:rsidR="00226908" w:rsidRPr="00226908">
        <w:rPr>
          <w:rFonts w:ascii="Times New Roman" w:hAnsi="Times New Roman"/>
          <w:sz w:val="26"/>
          <w:szCs w:val="26"/>
          <w:lang w:eastAsia="x-none" w:bidi="ru-RU"/>
        </w:rPr>
        <w:t xml:space="preserve"> не укомплектованы в соответствии с рекомендуемыми нормативами. При н</w:t>
      </w:r>
      <w:r w:rsidR="00226908" w:rsidRPr="00226908">
        <w:rPr>
          <w:rFonts w:ascii="Times New Roman" w:hAnsi="Times New Roman"/>
          <w:sz w:val="26"/>
          <w:szCs w:val="26"/>
          <w:lang w:eastAsia="x-none"/>
        </w:rPr>
        <w:t>едостатке численности операторов ЦОВ АЦ в дежурной смене, а также неукомплектованности штатов ЕДДС муниципальных образований существует риск увеличения расчетного времени обработки поступающих вызовов и принятия по ним мер оперативного реагирования.</w:t>
      </w:r>
    </w:p>
    <w:p w:rsidR="00583FB9"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 xml:space="preserve">Выделенные бюджетные средства на модернизацию материально-технической базы подразделений ГПС Мурманской области позволили осуществить замену устаревшего оборудования на более современное (нового поколения), пополнить средства защиты новыми модификациями, в том числе имеющими повышенный срок эксплуатации и меньший вес. В тоже время результаты анализа достаточности и своевременности финансового обеспечения деятельности ГПС Мурманской области свидетельствуют о наличии потребности в увеличении финансирования расходов на реализацию мероприятий по модернизации материально-технической базы подразделений ГПС Мурманской области. </w:t>
      </w:r>
    </w:p>
    <w:p w:rsidR="008612BE" w:rsidRPr="008A2F5B" w:rsidRDefault="008612BE" w:rsidP="00226908">
      <w:pPr>
        <w:suppressAutoHyphens/>
        <w:spacing w:after="0" w:line="240" w:lineRule="auto"/>
        <w:ind w:firstLine="709"/>
        <w:jc w:val="both"/>
        <w:rPr>
          <w:rFonts w:ascii="Times New Roman" w:hAnsi="Times New Roman"/>
          <w:sz w:val="16"/>
          <w:szCs w:val="16"/>
          <w:lang w:eastAsia="x-none"/>
        </w:rPr>
      </w:pPr>
    </w:p>
    <w:p w:rsidR="00226908" w:rsidRPr="00226908"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Так, по состоянию на 01.01.2019:</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xml:space="preserve"> в 8 населенных пунктах Мурманской области из-за их территориальной удаленности от мест дислокации частей пожарной охраны не представляется возможным обеспечить соблюдение установленных нормативов прибытия оперативных подразделений пожарной охраны к месту вызова; </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xml:space="preserve"> из 33 пожарных депо, в которых размещаются подразделения ГПС Мурманской области, имеют удовлетворительное состояние и не нуждаются в ремонте здания, в которых размещены только три подразделения: ПЧ-11 и ПЧ-12 в </w:t>
      </w:r>
      <w:r w:rsidR="00226908" w:rsidRPr="00226908">
        <w:rPr>
          <w:rFonts w:ascii="Times New Roman" w:hAnsi="Times New Roman"/>
          <w:sz w:val="26"/>
          <w:szCs w:val="26"/>
          <w:lang w:eastAsia="x-none"/>
        </w:rPr>
        <w:lastRenderedPageBreak/>
        <w:t xml:space="preserve">г. Мурманске и ПЧ-23 в с. Териберка. Здания пожарных депо остальных подразделений характеризуются наличием проблем технического состояния (например: ветхость кровли, оконных конструкций, электропроводки, системы водоснабжения и теплоснабжения), в том числе не соответствуют требованиям к проектированию объектов пожарной охраны, предусмотренным Нормами проектирования НПБ 101-95. Кроме того, отдельный пост ПЧ-20 по охране </w:t>
      </w:r>
      <w:proofErr w:type="spellStart"/>
      <w:r w:rsidR="00226908" w:rsidRPr="00226908">
        <w:rPr>
          <w:rFonts w:ascii="Times New Roman" w:hAnsi="Times New Roman"/>
          <w:sz w:val="26"/>
          <w:szCs w:val="26"/>
          <w:lang w:eastAsia="x-none"/>
        </w:rPr>
        <w:t>с.п</w:t>
      </w:r>
      <w:proofErr w:type="spellEnd"/>
      <w:r w:rsidR="00226908" w:rsidRPr="00226908">
        <w:rPr>
          <w:rFonts w:ascii="Times New Roman" w:hAnsi="Times New Roman"/>
          <w:sz w:val="26"/>
          <w:szCs w:val="26"/>
          <w:lang w:eastAsia="x-none"/>
        </w:rPr>
        <w:t>. Междуречье располагается в неприспособленном для пожарного депо здании – в здании гаража с пристройками;</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из 28 пожарных частей ГПС Мурманской области 11 пожарных частей не укомплектованы пожарными автомобилями в соответствии с Нормами табельной положенности № 339-ПП;</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из 151 пожарных автомобилей имеют амортизацию 100,0 %: 48 (или 42,5 %) основных пожарных автомобилей; 25 (или 65,8 %) специальных пожарных автомобиля;</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нормативное значение необходимого оснащения пожарными рукавами (рукав напорный, рукав напорно-всасывающий, рукав всасывающий) на основные пожарные автомобили, соблюдено только по пожарным рукавам напорным с соединительной арматурой диаметром 66 мм длиной 20 м, оснащенность другими видами пожарных рукавов не соответствует Нормам табельной положенности № 339-ПП.</w:t>
      </w:r>
    </w:p>
    <w:p w:rsidR="00226908" w:rsidRPr="00226908"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Вместе с тем, не представилось возможным объективно оценить укомплектованность отдельных постов охраны (ОП) пожарными и аварийно-спасательными автомобилями в связи с отсутствием соответствующих норм табельной положенности. Отсутствие таких норм не позволяет также обеспечить обоснованное планирование бюджетных ассигнований на содержание ОП.</w:t>
      </w:r>
    </w:p>
    <w:p w:rsidR="00226908" w:rsidRPr="00226908"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 xml:space="preserve">В ходе исполнения государственного контракта на выполнение работ по строительству объекта «Пожарное депо на 4 автомобиля в </w:t>
      </w:r>
      <w:proofErr w:type="spellStart"/>
      <w:r w:rsidRPr="00226908">
        <w:rPr>
          <w:rFonts w:ascii="Times New Roman" w:hAnsi="Times New Roman"/>
          <w:sz w:val="26"/>
          <w:szCs w:val="26"/>
          <w:lang w:eastAsia="x-none"/>
        </w:rPr>
        <w:t>п.г.т</w:t>
      </w:r>
      <w:proofErr w:type="spellEnd"/>
      <w:r w:rsidRPr="00226908">
        <w:rPr>
          <w:rFonts w:ascii="Times New Roman" w:hAnsi="Times New Roman"/>
          <w:sz w:val="26"/>
          <w:szCs w:val="26"/>
          <w:lang w:eastAsia="x-none"/>
        </w:rPr>
        <w:t>. Умба» (Контракт № 36-2017) допущен ряд нарушений Федерального закона № 44-ФЗ, включая: изменение существенных условий контракта при его исполнении; неприменение меры ответственности по контракту (требования об уплате неустоек (штрафов, пеней) в адрес подрядчика не направлялись) на общую сумму 20 460,7 тыс. рублей.</w:t>
      </w:r>
    </w:p>
    <w:p w:rsidR="00226908" w:rsidRPr="00226908" w:rsidRDefault="00226908" w:rsidP="00226908">
      <w:pPr>
        <w:suppressAutoHyphens/>
        <w:spacing w:after="0" w:line="240" w:lineRule="auto"/>
        <w:ind w:firstLine="709"/>
        <w:jc w:val="both"/>
        <w:rPr>
          <w:rFonts w:ascii="Times New Roman" w:hAnsi="Times New Roman"/>
          <w:sz w:val="26"/>
          <w:szCs w:val="26"/>
          <w:lang w:eastAsia="x-none"/>
        </w:rPr>
      </w:pPr>
      <w:r w:rsidRPr="00226908">
        <w:rPr>
          <w:rFonts w:ascii="Times New Roman" w:hAnsi="Times New Roman"/>
          <w:sz w:val="26"/>
          <w:szCs w:val="26"/>
          <w:lang w:eastAsia="x-none"/>
        </w:rPr>
        <w:t>По результатам аудита направлены:</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информационные письмо с предложениями в Правительство Мурманской области;</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информация о фактах нарушений законодательства о контрактной системе в сфере закупок товаров, работ, услуг для обеспечения государственных нужд в Комитет государственного и финансового контроля Мурманской области;</w:t>
      </w:r>
    </w:p>
    <w:p w:rsidR="00226908" w:rsidRPr="00226908" w:rsidRDefault="00583FB9" w:rsidP="00226908">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226908" w:rsidRPr="00226908">
        <w:rPr>
          <w:rFonts w:ascii="Times New Roman" w:hAnsi="Times New Roman"/>
          <w:sz w:val="26"/>
          <w:szCs w:val="26"/>
          <w:lang w:eastAsia="x-none"/>
        </w:rPr>
        <w:t> обращение в Прокуратуру Мурманской области.</w:t>
      </w:r>
    </w:p>
    <w:p w:rsidR="00BD6095" w:rsidRPr="00BD6095" w:rsidRDefault="005167AD" w:rsidP="00BD6095">
      <w:pPr>
        <w:spacing w:before="120" w:after="0" w:line="240" w:lineRule="auto"/>
        <w:ind w:firstLine="709"/>
        <w:jc w:val="both"/>
        <w:rPr>
          <w:rFonts w:ascii="Times New Roman" w:hAnsi="Times New Roman"/>
          <w:sz w:val="26"/>
          <w:szCs w:val="26"/>
        </w:rPr>
      </w:pPr>
      <w:r w:rsidRPr="002C49D3">
        <w:rPr>
          <w:rFonts w:ascii="Times New Roman" w:hAnsi="Times New Roman"/>
          <w:b/>
          <w:sz w:val="26"/>
          <w:szCs w:val="26"/>
        </w:rPr>
        <w:t>7</w:t>
      </w:r>
      <w:r w:rsidR="00BD6095" w:rsidRPr="002C49D3">
        <w:rPr>
          <w:rFonts w:ascii="Times New Roman" w:hAnsi="Times New Roman"/>
          <w:b/>
          <w:sz w:val="26"/>
          <w:szCs w:val="26"/>
        </w:rPr>
        <w:t>.2.</w:t>
      </w:r>
      <w:r w:rsidR="00BD6095" w:rsidRPr="00BF165D">
        <w:rPr>
          <w:rFonts w:ascii="Times New Roman" w:hAnsi="Times New Roman"/>
          <w:sz w:val="26"/>
          <w:szCs w:val="26"/>
        </w:rPr>
        <w:t xml:space="preserve"> </w:t>
      </w:r>
      <w:r w:rsidR="00BD6095" w:rsidRPr="00BD6095">
        <w:rPr>
          <w:rFonts w:ascii="Times New Roman" w:hAnsi="Times New Roman"/>
          <w:sz w:val="26"/>
          <w:szCs w:val="26"/>
        </w:rPr>
        <w:t xml:space="preserve">По результатам </w:t>
      </w:r>
      <w:r w:rsidR="00BD6095" w:rsidRPr="00BD6095">
        <w:rPr>
          <w:rFonts w:ascii="Times New Roman" w:eastAsia="Calibri" w:hAnsi="Times New Roman"/>
          <w:sz w:val="26"/>
          <w:szCs w:val="26"/>
          <w:lang w:eastAsia="x-none"/>
        </w:rPr>
        <w:t xml:space="preserve">контрольного мероприятия </w:t>
      </w:r>
      <w:r w:rsidR="00BD6095" w:rsidRPr="00BD6095">
        <w:rPr>
          <w:rFonts w:ascii="Times New Roman" w:eastAsia="Calibri" w:hAnsi="Times New Roman"/>
          <w:b/>
          <w:sz w:val="26"/>
          <w:szCs w:val="26"/>
          <w:lang w:eastAsia="x-none"/>
        </w:rPr>
        <w:t>«Аудит эффективности использования бюджетных средств, направленных в 2015 – 2018 годах и истекшем периоде 2019 года на осуществление деятельности по отлову и содержанию безнадзорных животных, включая расходы на организацию осуществления данной деятельности»</w:t>
      </w:r>
      <w:r w:rsidR="00BD6095" w:rsidRPr="00BD6095">
        <w:rPr>
          <w:rFonts w:ascii="Times New Roman" w:hAnsi="Times New Roman"/>
          <w:sz w:val="26"/>
          <w:szCs w:val="26"/>
        </w:rPr>
        <w:t xml:space="preserve"> установлено следующее.  </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В проверяемом периоде бюджетные ассигнования на отлов и содержание безнадзорных животных предусмотрены на общую сумму 208 455,3 тыс. рублей и исполнены на общую сумму 143 502,5 тыс. рублей, или на 68,8 процента. </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В течение проверяемого периода расходы областного бюджета на отлов и содержание безнадзорных животных в виде субвенций местным бюджетам возросли в </w:t>
      </w:r>
      <w:r w:rsidRPr="009A4A9A">
        <w:rPr>
          <w:rFonts w:ascii="Times New Roman" w:hAnsi="Times New Roman"/>
          <w:sz w:val="26"/>
          <w:szCs w:val="26"/>
          <w:lang w:eastAsia="en-US"/>
        </w:rPr>
        <w:lastRenderedPageBreak/>
        <w:t xml:space="preserve">2,4 раза с 20 617,5 тыс. рублей в 2015 году до 50 429,8 тыс. рублей в 2018 году, что в основном обусловлено увеличением фиксированного размера норматива стоимости услуги по проведению мероприятий по отлову и содержанию в отношении одного безнадзорного животного с 3 044,68 рублей до 6 756,20 рублей, или в 2,2 раза. </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Неисполнение бюджетных обязательств в течение проверяемого периода объясняется невыполнением мероприятий по отлову и содержанию безнадзорных животных, в том числе в связи отсутствием безнадзорных животных на территориях отдельных муниципальных образований или невозможностью привлечения подрядчика из-за малого количества животных. </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Кроме того, отдельными муниципальными образованиями Мурманской области за счет средств местного бюджета осуществлялось финансовое обеспечение мероприятий по отлову и содержанию безнадзорных животных.</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Объем субвенций на отлов и содержание безнадзорных животных, в том числе на организацию такой деятельности, на 2015 – 2018 годы определялся в соответствии с положениями Методики расчета объема субвенций.</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Вместе с тем Методика расчета объема субвенций не содержала положений, устанавливающих порядок (методику) определения Комитетом по </w:t>
      </w:r>
      <w:proofErr w:type="gramStart"/>
      <w:r w:rsidRPr="009A4A9A">
        <w:rPr>
          <w:rFonts w:ascii="Times New Roman" w:hAnsi="Times New Roman"/>
          <w:sz w:val="26"/>
          <w:szCs w:val="26"/>
          <w:lang w:eastAsia="en-US"/>
        </w:rPr>
        <w:t>ветеринарии  Мурманской</w:t>
      </w:r>
      <w:proofErr w:type="gramEnd"/>
      <w:r w:rsidRPr="009A4A9A">
        <w:rPr>
          <w:rFonts w:ascii="Times New Roman" w:hAnsi="Times New Roman"/>
          <w:sz w:val="26"/>
          <w:szCs w:val="26"/>
          <w:lang w:eastAsia="en-US"/>
        </w:rPr>
        <w:t xml:space="preserve"> области прогнозной численности безнадзорных животных в муниципальных образованиях Мурманской области, что не обеспечило прозрачность и качество планирования бюджетных ассигнований.</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Закон Мурманской области «О содержании животных» не содержал и до настоящего времени Закон Мурманской области «Об ответственном обращении с животными в Мурманской области» не содержит порядок расчета:</w:t>
      </w:r>
    </w:p>
    <w:p w:rsidR="009A4A9A" w:rsidRPr="009A4A9A" w:rsidRDefault="00583FB9" w:rsidP="009A4A9A">
      <w:pPr>
        <w:suppressAutoHyphens/>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9A4A9A" w:rsidRPr="009A4A9A">
        <w:rPr>
          <w:rFonts w:ascii="Times New Roman" w:hAnsi="Times New Roman"/>
          <w:sz w:val="26"/>
          <w:szCs w:val="26"/>
          <w:lang w:eastAsia="en-US"/>
        </w:rPr>
        <w:t xml:space="preserve"> норматива стоимости услуги по проведению мероприятий по отлову и содержанию в отношении одного безнадзорного животного;</w:t>
      </w:r>
    </w:p>
    <w:p w:rsidR="009A4A9A" w:rsidRPr="009A4A9A" w:rsidRDefault="00583FB9" w:rsidP="009A4A9A">
      <w:pPr>
        <w:suppressAutoHyphens/>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9A4A9A" w:rsidRPr="009A4A9A">
        <w:rPr>
          <w:rFonts w:ascii="Times New Roman" w:hAnsi="Times New Roman"/>
          <w:sz w:val="26"/>
          <w:szCs w:val="26"/>
          <w:lang w:eastAsia="en-US"/>
        </w:rPr>
        <w:t xml:space="preserve"> норматива стоимости дня содержания одного животного без владельца в муниципальном образовании на время розыска собственника;</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 </w:t>
      </w:r>
      <w:r w:rsidR="00583FB9">
        <w:rPr>
          <w:rFonts w:ascii="Times New Roman" w:hAnsi="Times New Roman"/>
          <w:sz w:val="26"/>
          <w:szCs w:val="26"/>
          <w:lang w:eastAsia="en-US"/>
        </w:rPr>
        <w:sym w:font="Symbol" w:char="F0B7"/>
      </w:r>
      <w:r w:rsidRPr="009A4A9A">
        <w:rPr>
          <w:rFonts w:ascii="Times New Roman" w:hAnsi="Times New Roman"/>
          <w:sz w:val="26"/>
          <w:szCs w:val="26"/>
          <w:lang w:eastAsia="en-US"/>
        </w:rPr>
        <w:t xml:space="preserve"> нормативной численности работников, осуществляющих организацию выполнения переданных государственных полномочий по отлову и содержанию безнадзорных животных,</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чем не выполнены требования норм пункта 4 статьи 10 Закона Мурманской области «О бюджетном процессе в Мурманской области» во взаимосвязи с пунктом 3 статьи 140 Бюджетного кодекса РФ.</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Отсутствие порядков расчета вышеуказанных нормативов, установленных Законами Мурманской области, не обеспечило прозрачность и обоснованность, а также не позволило дать объективную оценку достаточности финансового обеспечения мероприятий по отлову и содержанию безнадзорных животных в разрезе видов услуг на соответствующий финансовый год.</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В ходе контрольного мероприятия нарушений «Порядка расходования субвенций» не установлено. </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Субвенция на осуществление деятельности по отлову и содержанию безнадзорных животных расходовалась муниципальными образованиями Мурманской области на мероприятия по отлову и содержанию безнадзорных животных в пределах фиксированного размера норматива стоимости услуги по проведению мероприятий по отлову и содержанию в отношении одного безнадзорного животного на каждое мероприятие по отдельности и (или) в целом на весь перечень мероприятий. </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Общая фактическая стоимость услуг по отлову и содержанию безнадзорных животных, оказанных муниципальным образованиям Мурманской области, в среднем </w:t>
      </w:r>
      <w:r w:rsidRPr="009A4A9A">
        <w:rPr>
          <w:rFonts w:ascii="Times New Roman" w:hAnsi="Times New Roman"/>
          <w:sz w:val="26"/>
          <w:szCs w:val="26"/>
          <w:lang w:eastAsia="en-US"/>
        </w:rPr>
        <w:lastRenderedPageBreak/>
        <w:t>на 1 животное не превышала фиксированный размер норматива стоимости услуг по отлову и содержанию, применяемого для расчета субвенции в соответствующем финансовом году.</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В тоже время фактическая стоимость услуг, оказанных в рамках проведения мероприятий по отлову и содержанию безнадзорных животных, отличалась от стоимости, учтенной в нормативе, как в большую, так и в меньшую сторону.</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Вместе с тем, Порядок расходования субвенций не содержит положений и норм ограничивающих и (или) предоставляющих право перераспределять между мероприятиями по отлову и содержанию средства субвенции, предоставляемой исходя из фиксированного размера норматива стоимости услуг в целом без детализации в разрезе мероприятий по отлову и содержанию безнадзорных животных.</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В проверяемом периоде основная доля численности безнадзорных животных (64,7 %), в отношении которых проведены мероприятия по отлову и содержанию, приходилась на г. Мурманск – 31,6 %, ЗАТО город Североморск – 16,7 %, Кольский район – 8,4 %, ЗАТО Александровск – 8,0 процента.</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 xml:space="preserve">Необходимо отметить, что в течение проверяемого периода в 22 из 31 муниципальных образований Мурманской области наблюдается увеличение численности отловленных безнадзорных животных разными темпами, из них наиболее существенный рост в ЗАТО Александровск, г. Мончегорск с подведомственной территорией, в поселениях Кандалакшского и Кольского районов и т.д. </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Основными причинами популяции безнадзорных животных являются:</w:t>
      </w:r>
    </w:p>
    <w:p w:rsidR="009A4A9A" w:rsidRPr="009A4A9A" w:rsidRDefault="00583FB9" w:rsidP="009A4A9A">
      <w:pPr>
        <w:suppressAutoHyphens/>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9A4A9A" w:rsidRPr="009A4A9A">
        <w:rPr>
          <w:rFonts w:ascii="Times New Roman" w:hAnsi="Times New Roman"/>
          <w:sz w:val="26"/>
          <w:szCs w:val="26"/>
          <w:lang w:eastAsia="en-US"/>
        </w:rPr>
        <w:t xml:space="preserve"> наличие мест обитания (нахождение, перемещение) безнадзорных животных на «закрытых» территориях, в том числе имеющие пропускной режим (воинские части, промышленные предприятия, частные территории);</w:t>
      </w:r>
    </w:p>
    <w:p w:rsidR="009A4A9A" w:rsidRPr="009A4A9A" w:rsidRDefault="00583FB9" w:rsidP="009A4A9A">
      <w:pPr>
        <w:suppressAutoHyphens/>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9A4A9A" w:rsidRPr="009A4A9A">
        <w:rPr>
          <w:rFonts w:ascii="Times New Roman" w:hAnsi="Times New Roman"/>
          <w:sz w:val="26"/>
          <w:szCs w:val="26"/>
          <w:lang w:eastAsia="en-US"/>
        </w:rPr>
        <w:t xml:space="preserve"> наличие объектов незавершенного строительства и (или) бесхозных строений, на территории расположения которых организованы места обитания и кормления;</w:t>
      </w:r>
    </w:p>
    <w:p w:rsidR="009A4A9A" w:rsidRPr="009A4A9A" w:rsidRDefault="00583FB9" w:rsidP="009A4A9A">
      <w:pPr>
        <w:suppressAutoHyphens/>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9A4A9A" w:rsidRPr="009A4A9A">
        <w:rPr>
          <w:rFonts w:ascii="Times New Roman" w:hAnsi="Times New Roman"/>
          <w:sz w:val="26"/>
          <w:szCs w:val="26"/>
          <w:lang w:eastAsia="en-US"/>
        </w:rPr>
        <w:t xml:space="preserve"> доступ к кормовой базе, выразившийся в наличии несанкционированных свалок отходов и площадок с открытыми контейнерами для бытовых отходов; </w:t>
      </w:r>
    </w:p>
    <w:p w:rsidR="009A4A9A" w:rsidRPr="009A4A9A" w:rsidRDefault="00583FB9" w:rsidP="009A4A9A">
      <w:pPr>
        <w:suppressAutoHyphens/>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9A4A9A" w:rsidRPr="009A4A9A">
        <w:rPr>
          <w:rFonts w:ascii="Times New Roman" w:hAnsi="Times New Roman"/>
          <w:sz w:val="26"/>
          <w:szCs w:val="26"/>
          <w:lang w:eastAsia="en-US"/>
        </w:rPr>
        <w:t xml:space="preserve"> наличие мест обитания и кормления, организованные гражданами.</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Согласно отчетам муниципальных образований Мурманской области за период 2016 – 2018 годов умерщвлено 20 555 животных, или 94,2 % количества отловленных безнадзорных животных. Основной причиной умерщвления являлось проявление «немотивированной агрессии».</w:t>
      </w:r>
    </w:p>
    <w:p w:rsidR="009A4A9A" w:rsidRPr="009A4A9A" w:rsidRDefault="009A4A9A" w:rsidP="009A4A9A">
      <w:pPr>
        <w:suppressAutoHyphens/>
        <w:spacing w:after="0" w:line="240" w:lineRule="auto"/>
        <w:ind w:firstLine="709"/>
        <w:jc w:val="both"/>
        <w:rPr>
          <w:rFonts w:ascii="Times New Roman" w:hAnsi="Times New Roman"/>
          <w:sz w:val="26"/>
          <w:szCs w:val="26"/>
          <w:lang w:eastAsia="en-US"/>
        </w:rPr>
      </w:pPr>
      <w:r w:rsidRPr="009A4A9A">
        <w:rPr>
          <w:rFonts w:ascii="Times New Roman" w:hAnsi="Times New Roman"/>
          <w:sz w:val="26"/>
          <w:szCs w:val="26"/>
          <w:lang w:eastAsia="en-US"/>
        </w:rPr>
        <w:t>Мероприятия по отлову и содержанию безнадзорных животных способствовали достижению ожидаемого конечного результата Подпрограммы «Развитие государственной ветеринарной службы Мурманской области», такого как - отсутствие случаев возникновения очагов особо опасных болезней животных и как, следствие, способствовали сохранению санитарно-эпидемиологического благополучия населения.</w:t>
      </w:r>
    </w:p>
    <w:p w:rsidR="00226908" w:rsidRPr="00BF165D" w:rsidRDefault="009A4A9A" w:rsidP="009A4A9A">
      <w:pPr>
        <w:suppressAutoHyphens/>
        <w:spacing w:after="0" w:line="240" w:lineRule="auto"/>
        <w:ind w:firstLine="709"/>
        <w:jc w:val="both"/>
        <w:rPr>
          <w:rFonts w:ascii="Times New Roman" w:hAnsi="Times New Roman"/>
          <w:sz w:val="26"/>
          <w:szCs w:val="26"/>
          <w:lang w:eastAsia="x-none"/>
        </w:rPr>
      </w:pPr>
      <w:r w:rsidRPr="009A4A9A">
        <w:rPr>
          <w:rFonts w:ascii="Times New Roman" w:hAnsi="Times New Roman"/>
          <w:sz w:val="26"/>
          <w:szCs w:val="26"/>
          <w:lang w:eastAsia="en-US"/>
        </w:rPr>
        <w:t>Вместе с тем, наличие единственного целевого показателя не обеспечило объективную оценку эффективности (экономности и результативности) использования бюджетных средств на реализацию мероприятий по отлову и содержанию безнадзорных животных.</w:t>
      </w:r>
    </w:p>
    <w:bookmarkEnd w:id="2"/>
    <w:p w:rsidR="007702C1" w:rsidRPr="006244EB" w:rsidRDefault="007702C1" w:rsidP="006244EB">
      <w:pPr>
        <w:tabs>
          <w:tab w:val="left" w:pos="284"/>
        </w:tabs>
        <w:suppressAutoHyphens/>
        <w:spacing w:after="0" w:line="240" w:lineRule="auto"/>
        <w:ind w:firstLine="709"/>
        <w:jc w:val="both"/>
        <w:rPr>
          <w:rFonts w:ascii="Times New Roman" w:hAnsi="Times New Roman"/>
          <w:sz w:val="16"/>
          <w:szCs w:val="16"/>
        </w:rPr>
      </w:pPr>
    </w:p>
    <w:p w:rsidR="0005614C" w:rsidRPr="005879C9" w:rsidRDefault="0005614C" w:rsidP="006244EB">
      <w:pPr>
        <w:spacing w:after="0" w:line="240" w:lineRule="auto"/>
        <w:ind w:firstLine="709"/>
        <w:jc w:val="center"/>
        <w:rPr>
          <w:rFonts w:ascii="Times New Roman" w:eastAsia="Calibri" w:hAnsi="Times New Roman"/>
          <w:b/>
          <w:sz w:val="16"/>
          <w:szCs w:val="16"/>
          <w:lang w:eastAsia="en-US"/>
        </w:rPr>
      </w:pPr>
    </w:p>
    <w:p w:rsidR="00890A93" w:rsidRPr="003B7885" w:rsidRDefault="0091024C" w:rsidP="006244EB">
      <w:pPr>
        <w:spacing w:after="0" w:line="240" w:lineRule="auto"/>
        <w:ind w:firstLine="709"/>
        <w:jc w:val="center"/>
        <w:rPr>
          <w:rFonts w:ascii="Times New Roman" w:eastAsia="Calibri" w:hAnsi="Times New Roman"/>
          <w:b/>
          <w:sz w:val="28"/>
          <w:szCs w:val="28"/>
          <w:lang w:eastAsia="en-US"/>
        </w:rPr>
      </w:pPr>
      <w:r w:rsidRPr="003B7885">
        <w:rPr>
          <w:rFonts w:ascii="Times New Roman" w:eastAsia="Calibri" w:hAnsi="Times New Roman"/>
          <w:b/>
          <w:sz w:val="28"/>
          <w:szCs w:val="28"/>
          <w:lang w:val="en-US" w:eastAsia="en-US"/>
        </w:rPr>
        <w:t>V</w:t>
      </w:r>
      <w:r w:rsidR="00890A93" w:rsidRPr="003B7885">
        <w:rPr>
          <w:rFonts w:ascii="Times New Roman" w:eastAsia="Calibri" w:hAnsi="Times New Roman"/>
          <w:b/>
          <w:sz w:val="28"/>
          <w:szCs w:val="28"/>
          <w:lang w:eastAsia="en-US"/>
        </w:rPr>
        <w:t>. Информационная и иная деятельность</w:t>
      </w:r>
    </w:p>
    <w:p w:rsidR="00F435F0" w:rsidRPr="009954DF" w:rsidRDefault="00F435F0" w:rsidP="006244EB">
      <w:pPr>
        <w:spacing w:after="0" w:line="240" w:lineRule="auto"/>
        <w:ind w:firstLine="709"/>
        <w:jc w:val="center"/>
        <w:rPr>
          <w:rFonts w:ascii="Times New Roman" w:eastAsia="Calibri" w:hAnsi="Times New Roman"/>
          <w:b/>
          <w:sz w:val="16"/>
          <w:szCs w:val="16"/>
          <w:highlight w:val="yellow"/>
          <w:lang w:eastAsia="en-US"/>
        </w:rPr>
      </w:pPr>
    </w:p>
    <w:p w:rsidR="00F31F7B" w:rsidRDefault="00812694" w:rsidP="006244EB">
      <w:pPr>
        <w:spacing w:after="0" w:line="240" w:lineRule="auto"/>
        <w:ind w:firstLine="709"/>
        <w:jc w:val="both"/>
        <w:rPr>
          <w:rFonts w:ascii="Times New Roman" w:hAnsi="Times New Roman"/>
          <w:sz w:val="26"/>
          <w:szCs w:val="26"/>
        </w:rPr>
      </w:pPr>
      <w:r>
        <w:rPr>
          <w:rFonts w:ascii="Times New Roman" w:hAnsi="Times New Roman"/>
          <w:sz w:val="26"/>
          <w:szCs w:val="26"/>
        </w:rPr>
        <w:t>Счетная палата в</w:t>
      </w:r>
      <w:r w:rsidRPr="00812694">
        <w:rPr>
          <w:rFonts w:ascii="Times New Roman" w:hAnsi="Times New Roman"/>
          <w:sz w:val="26"/>
          <w:szCs w:val="26"/>
        </w:rPr>
        <w:t xml:space="preserve"> </w:t>
      </w:r>
      <w:r>
        <w:rPr>
          <w:rFonts w:ascii="Times New Roman" w:hAnsi="Times New Roman"/>
          <w:sz w:val="26"/>
          <w:szCs w:val="26"/>
        </w:rPr>
        <w:t xml:space="preserve">течение 2019 года в </w:t>
      </w:r>
      <w:r w:rsidRPr="00812694">
        <w:rPr>
          <w:rFonts w:ascii="Times New Roman" w:hAnsi="Times New Roman"/>
          <w:sz w:val="26"/>
          <w:szCs w:val="26"/>
        </w:rPr>
        <w:t xml:space="preserve">целях обеспечения доступа к информации о своей деятельности в соответствии со статьей 21 Закона о Счетной палате </w:t>
      </w:r>
      <w:r w:rsidR="00F31F7B" w:rsidRPr="00F31F7B">
        <w:rPr>
          <w:rFonts w:ascii="Times New Roman" w:hAnsi="Times New Roman"/>
          <w:sz w:val="26"/>
          <w:szCs w:val="26"/>
        </w:rPr>
        <w:lastRenderedPageBreak/>
        <w:t xml:space="preserve">публиковала </w:t>
      </w:r>
      <w:r w:rsidRPr="00812694">
        <w:rPr>
          <w:rFonts w:ascii="Times New Roman" w:hAnsi="Times New Roman"/>
          <w:sz w:val="26"/>
          <w:szCs w:val="26"/>
        </w:rPr>
        <w:t>в средствах массовой информации</w:t>
      </w:r>
      <w:r w:rsidR="00F31F7B">
        <w:rPr>
          <w:rFonts w:ascii="Times New Roman" w:hAnsi="Times New Roman"/>
          <w:sz w:val="26"/>
          <w:szCs w:val="26"/>
        </w:rPr>
        <w:t xml:space="preserve"> и</w:t>
      </w:r>
      <w:r w:rsidRPr="00812694">
        <w:rPr>
          <w:rFonts w:ascii="Times New Roman" w:hAnsi="Times New Roman"/>
          <w:sz w:val="26"/>
          <w:szCs w:val="26"/>
        </w:rPr>
        <w:t xml:space="preserve"> </w:t>
      </w:r>
      <w:r w:rsidR="00F31F7B" w:rsidRPr="00F31F7B">
        <w:rPr>
          <w:rFonts w:ascii="Times New Roman" w:hAnsi="Times New Roman"/>
          <w:sz w:val="26"/>
          <w:szCs w:val="26"/>
        </w:rPr>
        <w:t xml:space="preserve">размещала на официальном сайте </w:t>
      </w:r>
      <w:r w:rsidR="00F31F7B">
        <w:rPr>
          <w:rFonts w:ascii="Times New Roman" w:hAnsi="Times New Roman"/>
          <w:sz w:val="26"/>
          <w:szCs w:val="26"/>
        </w:rPr>
        <w:t>информацию</w:t>
      </w:r>
      <w:r w:rsidRPr="00812694">
        <w:rPr>
          <w:rFonts w:ascii="Times New Roman" w:hAnsi="Times New Roman"/>
          <w:sz w:val="26"/>
          <w:szCs w:val="26"/>
        </w:rPr>
        <w:t xml:space="preserve"> о </w:t>
      </w:r>
      <w:r w:rsidR="00F31F7B">
        <w:rPr>
          <w:rFonts w:ascii="Times New Roman" w:hAnsi="Times New Roman"/>
          <w:sz w:val="26"/>
          <w:szCs w:val="26"/>
        </w:rPr>
        <w:t xml:space="preserve">предусмотренных годовым планом работ мероприятиях, о </w:t>
      </w:r>
      <w:r>
        <w:rPr>
          <w:rFonts w:ascii="Times New Roman" w:hAnsi="Times New Roman"/>
          <w:sz w:val="26"/>
          <w:szCs w:val="26"/>
        </w:rPr>
        <w:t xml:space="preserve">результатах </w:t>
      </w:r>
      <w:r w:rsidRPr="00812694">
        <w:rPr>
          <w:rFonts w:ascii="Times New Roman" w:hAnsi="Times New Roman"/>
          <w:sz w:val="26"/>
          <w:szCs w:val="26"/>
        </w:rPr>
        <w:t>проведенных контрольных и экспертно-аналитических мероприяти</w:t>
      </w:r>
      <w:r w:rsidR="00F31F7B">
        <w:rPr>
          <w:rFonts w:ascii="Times New Roman" w:hAnsi="Times New Roman"/>
          <w:sz w:val="26"/>
          <w:szCs w:val="26"/>
        </w:rPr>
        <w:t>й</w:t>
      </w:r>
      <w:r w:rsidRPr="00812694">
        <w:rPr>
          <w:rFonts w:ascii="Times New Roman" w:hAnsi="Times New Roman"/>
          <w:sz w:val="26"/>
          <w:szCs w:val="26"/>
        </w:rPr>
        <w:t xml:space="preserve">, о выявленных нарушениях, о внесенных представлениях и предписаниях, а также принятых по ним решениям и мерам. </w:t>
      </w:r>
    </w:p>
    <w:p w:rsidR="00402AA4" w:rsidRPr="00402AA4" w:rsidRDefault="00402AA4" w:rsidP="00402AA4">
      <w:pPr>
        <w:spacing w:after="0" w:line="240" w:lineRule="auto"/>
        <w:ind w:firstLine="709"/>
        <w:jc w:val="both"/>
        <w:rPr>
          <w:rFonts w:ascii="Times New Roman" w:hAnsi="Times New Roman"/>
          <w:sz w:val="26"/>
          <w:szCs w:val="26"/>
        </w:rPr>
      </w:pPr>
      <w:r w:rsidRPr="00402AA4">
        <w:rPr>
          <w:rFonts w:ascii="Times New Roman" w:hAnsi="Times New Roman"/>
          <w:sz w:val="26"/>
          <w:szCs w:val="26"/>
        </w:rPr>
        <w:t xml:space="preserve">В декабре 2019 года </w:t>
      </w:r>
      <w:r>
        <w:rPr>
          <w:rFonts w:ascii="Times New Roman" w:hAnsi="Times New Roman"/>
          <w:sz w:val="26"/>
          <w:szCs w:val="26"/>
        </w:rPr>
        <w:t xml:space="preserve">разработан и </w:t>
      </w:r>
      <w:r w:rsidRPr="00402AA4">
        <w:rPr>
          <w:rFonts w:ascii="Times New Roman" w:hAnsi="Times New Roman"/>
          <w:sz w:val="26"/>
          <w:szCs w:val="26"/>
        </w:rPr>
        <w:t>принят в эксплуатацию новый официальный сайт Счетной палаты (с прежним доменным именем www.kspmo.ru в сети Интернет).</w:t>
      </w:r>
    </w:p>
    <w:p w:rsidR="00402AA4" w:rsidRDefault="00242811" w:rsidP="006244EB">
      <w:pPr>
        <w:spacing w:after="0" w:line="240" w:lineRule="auto"/>
        <w:ind w:firstLine="709"/>
        <w:jc w:val="both"/>
        <w:rPr>
          <w:rFonts w:ascii="Times New Roman" w:hAnsi="Times New Roman"/>
          <w:sz w:val="26"/>
          <w:szCs w:val="26"/>
        </w:rPr>
      </w:pPr>
      <w:r w:rsidRPr="00242811">
        <w:rPr>
          <w:rFonts w:ascii="Times New Roman" w:hAnsi="Times New Roman"/>
          <w:sz w:val="26"/>
          <w:szCs w:val="26"/>
        </w:rPr>
        <w:t xml:space="preserve">Также </w:t>
      </w:r>
      <w:r>
        <w:rPr>
          <w:rFonts w:ascii="Times New Roman" w:hAnsi="Times New Roman"/>
          <w:sz w:val="26"/>
          <w:szCs w:val="26"/>
        </w:rPr>
        <w:t>в</w:t>
      </w:r>
      <w:r w:rsidR="008149D7" w:rsidRPr="00812694">
        <w:rPr>
          <w:rFonts w:ascii="Times New Roman" w:hAnsi="Times New Roman"/>
          <w:sz w:val="26"/>
          <w:szCs w:val="26"/>
        </w:rPr>
        <w:t xml:space="preserve"> отчетном периоде </w:t>
      </w:r>
      <w:r w:rsidR="00812694" w:rsidRPr="00812694">
        <w:rPr>
          <w:rFonts w:ascii="Times New Roman" w:hAnsi="Times New Roman"/>
          <w:sz w:val="26"/>
          <w:szCs w:val="26"/>
        </w:rPr>
        <w:t>Счетная палата размещ</w:t>
      </w:r>
      <w:r w:rsidR="008149D7">
        <w:rPr>
          <w:rFonts w:ascii="Times New Roman" w:hAnsi="Times New Roman"/>
          <w:sz w:val="26"/>
          <w:szCs w:val="26"/>
        </w:rPr>
        <w:t>ала</w:t>
      </w:r>
      <w:r w:rsidR="00812694" w:rsidRPr="00812694">
        <w:rPr>
          <w:rFonts w:ascii="Times New Roman" w:hAnsi="Times New Roman"/>
          <w:sz w:val="26"/>
          <w:szCs w:val="26"/>
        </w:rPr>
        <w:t xml:space="preserve"> </w:t>
      </w:r>
      <w:r>
        <w:rPr>
          <w:rFonts w:ascii="Times New Roman" w:hAnsi="Times New Roman"/>
          <w:sz w:val="26"/>
          <w:szCs w:val="26"/>
        </w:rPr>
        <w:t xml:space="preserve">отчетную и запрашиваемую </w:t>
      </w:r>
      <w:r w:rsidR="00812694" w:rsidRPr="00812694">
        <w:rPr>
          <w:rFonts w:ascii="Times New Roman" w:hAnsi="Times New Roman"/>
          <w:sz w:val="26"/>
          <w:szCs w:val="26"/>
        </w:rPr>
        <w:t>информаци</w:t>
      </w:r>
      <w:r>
        <w:rPr>
          <w:rFonts w:ascii="Times New Roman" w:hAnsi="Times New Roman"/>
          <w:sz w:val="26"/>
          <w:szCs w:val="26"/>
        </w:rPr>
        <w:t>ю</w:t>
      </w:r>
      <w:r w:rsidR="00812694" w:rsidRPr="00812694">
        <w:rPr>
          <w:rFonts w:ascii="Times New Roman" w:hAnsi="Times New Roman"/>
          <w:sz w:val="26"/>
          <w:szCs w:val="26"/>
        </w:rPr>
        <w:t xml:space="preserve"> на Портале Счетной палаты Российской Федерации и контрольно-счетных органов Российской Федерации в сети Интернет. </w:t>
      </w:r>
    </w:p>
    <w:p w:rsidR="00326F91" w:rsidRDefault="00242811" w:rsidP="006244EB">
      <w:pPr>
        <w:spacing w:after="0" w:line="240" w:lineRule="auto"/>
        <w:ind w:firstLine="709"/>
        <w:jc w:val="both"/>
        <w:rPr>
          <w:rFonts w:ascii="Times New Roman" w:hAnsi="Times New Roman"/>
          <w:sz w:val="26"/>
          <w:szCs w:val="26"/>
          <w:highlight w:val="yellow"/>
        </w:rPr>
      </w:pPr>
      <w:r>
        <w:rPr>
          <w:rFonts w:ascii="Times New Roman" w:hAnsi="Times New Roman"/>
          <w:sz w:val="26"/>
          <w:szCs w:val="26"/>
        </w:rPr>
        <w:t>Д</w:t>
      </w:r>
      <w:r w:rsidR="00812694" w:rsidRPr="00812694">
        <w:rPr>
          <w:rFonts w:ascii="Times New Roman" w:hAnsi="Times New Roman"/>
          <w:sz w:val="26"/>
          <w:szCs w:val="26"/>
        </w:rPr>
        <w:t>олжностные лица Счетной палаты прин</w:t>
      </w:r>
      <w:r w:rsidR="000D1446">
        <w:rPr>
          <w:rFonts w:ascii="Times New Roman" w:hAnsi="Times New Roman"/>
          <w:sz w:val="26"/>
          <w:szCs w:val="26"/>
        </w:rPr>
        <w:t xml:space="preserve">яли </w:t>
      </w:r>
      <w:r w:rsidR="00812694" w:rsidRPr="00812694">
        <w:rPr>
          <w:rFonts w:ascii="Times New Roman" w:hAnsi="Times New Roman"/>
          <w:sz w:val="26"/>
          <w:szCs w:val="26"/>
        </w:rPr>
        <w:t xml:space="preserve">активное участие в </w:t>
      </w:r>
      <w:r w:rsidR="009B0076">
        <w:rPr>
          <w:rFonts w:ascii="Times New Roman" w:hAnsi="Times New Roman"/>
          <w:sz w:val="26"/>
          <w:szCs w:val="26"/>
        </w:rPr>
        <w:t xml:space="preserve">19 </w:t>
      </w:r>
      <w:r w:rsidR="00812694" w:rsidRPr="00812694">
        <w:rPr>
          <w:rFonts w:ascii="Times New Roman" w:hAnsi="Times New Roman"/>
          <w:sz w:val="26"/>
          <w:szCs w:val="26"/>
        </w:rPr>
        <w:t>видеоконференциях</w:t>
      </w:r>
      <w:r w:rsidR="009B0076">
        <w:rPr>
          <w:rFonts w:ascii="Times New Roman" w:hAnsi="Times New Roman"/>
          <w:sz w:val="26"/>
          <w:szCs w:val="26"/>
        </w:rPr>
        <w:t xml:space="preserve"> (семинарах)</w:t>
      </w:r>
      <w:r w:rsidR="00812694" w:rsidRPr="00812694">
        <w:rPr>
          <w:rFonts w:ascii="Times New Roman" w:hAnsi="Times New Roman"/>
          <w:sz w:val="26"/>
          <w:szCs w:val="26"/>
        </w:rPr>
        <w:t>, проводимых Счетной палатой Российской Федерации</w:t>
      </w:r>
      <w:r w:rsidR="009B0076" w:rsidRPr="009B0076">
        <w:t xml:space="preserve"> </w:t>
      </w:r>
      <w:r w:rsidR="009B0076" w:rsidRPr="009B0076">
        <w:rPr>
          <w:rFonts w:ascii="Times New Roman" w:hAnsi="Times New Roman"/>
          <w:sz w:val="26"/>
          <w:szCs w:val="26"/>
        </w:rPr>
        <w:t>в сети Интернет</w:t>
      </w:r>
      <w:r w:rsidR="00812694" w:rsidRPr="00812694">
        <w:rPr>
          <w:rFonts w:ascii="Times New Roman" w:hAnsi="Times New Roman"/>
          <w:sz w:val="26"/>
          <w:szCs w:val="26"/>
        </w:rPr>
        <w:t>.</w:t>
      </w:r>
    </w:p>
    <w:p w:rsidR="009B0076" w:rsidRDefault="00FF5ECC" w:rsidP="006244EB">
      <w:pPr>
        <w:spacing w:after="0" w:line="240" w:lineRule="auto"/>
        <w:ind w:firstLine="709"/>
        <w:jc w:val="both"/>
        <w:rPr>
          <w:rFonts w:ascii="Times New Roman" w:hAnsi="Times New Roman"/>
          <w:sz w:val="26"/>
          <w:szCs w:val="26"/>
        </w:rPr>
      </w:pPr>
      <w:r w:rsidRPr="00326F91">
        <w:rPr>
          <w:rFonts w:ascii="Times New Roman" w:hAnsi="Times New Roman"/>
          <w:sz w:val="26"/>
          <w:szCs w:val="26"/>
        </w:rPr>
        <w:t>Счетной палатой в целях сотрудничества, взаимодействия, обмена результатами контрольной и экспертно-аналитической деятельности, нормативными и методологическими материалами, а также планами работы по состоянию на 01</w:t>
      </w:r>
      <w:r w:rsidR="005167AD">
        <w:rPr>
          <w:rFonts w:ascii="Times New Roman" w:hAnsi="Times New Roman"/>
          <w:sz w:val="26"/>
          <w:szCs w:val="26"/>
        </w:rPr>
        <w:t>.01.</w:t>
      </w:r>
      <w:r w:rsidRPr="00326F91">
        <w:rPr>
          <w:rFonts w:ascii="Times New Roman" w:hAnsi="Times New Roman"/>
          <w:sz w:val="26"/>
          <w:szCs w:val="26"/>
        </w:rPr>
        <w:t>20</w:t>
      </w:r>
      <w:r w:rsidR="000D1446">
        <w:rPr>
          <w:rFonts w:ascii="Times New Roman" w:hAnsi="Times New Roman"/>
          <w:sz w:val="26"/>
          <w:szCs w:val="26"/>
        </w:rPr>
        <w:t>20</w:t>
      </w:r>
      <w:r w:rsidR="00533B08">
        <w:rPr>
          <w:rFonts w:ascii="Times New Roman" w:hAnsi="Times New Roman"/>
          <w:sz w:val="26"/>
          <w:szCs w:val="26"/>
        </w:rPr>
        <w:t xml:space="preserve"> </w:t>
      </w:r>
      <w:r w:rsidRPr="00326F91">
        <w:rPr>
          <w:rFonts w:ascii="Times New Roman" w:hAnsi="Times New Roman"/>
          <w:sz w:val="26"/>
          <w:szCs w:val="26"/>
        </w:rPr>
        <w:t xml:space="preserve">заключены </w:t>
      </w:r>
      <w:r w:rsidR="000D1446">
        <w:rPr>
          <w:rFonts w:ascii="Times New Roman" w:hAnsi="Times New Roman"/>
          <w:sz w:val="26"/>
          <w:szCs w:val="26"/>
        </w:rPr>
        <w:t>10</w:t>
      </w:r>
      <w:r w:rsidRPr="00326F91">
        <w:rPr>
          <w:rFonts w:ascii="Times New Roman" w:hAnsi="Times New Roman"/>
          <w:sz w:val="26"/>
          <w:szCs w:val="26"/>
        </w:rPr>
        <w:t xml:space="preserve"> соглашений с контролирующими и правоохранительными органами</w:t>
      </w:r>
      <w:r w:rsidR="00B95CB8">
        <w:rPr>
          <w:rFonts w:ascii="Times New Roman" w:hAnsi="Times New Roman"/>
          <w:sz w:val="26"/>
          <w:szCs w:val="26"/>
        </w:rPr>
        <w:t>,</w:t>
      </w:r>
      <w:r w:rsidRPr="00326F91">
        <w:rPr>
          <w:rFonts w:ascii="Times New Roman" w:hAnsi="Times New Roman"/>
          <w:sz w:val="26"/>
          <w:szCs w:val="26"/>
        </w:rPr>
        <w:t xml:space="preserve"> </w:t>
      </w:r>
      <w:r w:rsidR="00B95CB8">
        <w:rPr>
          <w:rFonts w:ascii="Times New Roman" w:hAnsi="Times New Roman"/>
          <w:sz w:val="26"/>
          <w:szCs w:val="26"/>
        </w:rPr>
        <w:t>в том числе в</w:t>
      </w:r>
      <w:r w:rsidR="009B0076" w:rsidRPr="009B0076">
        <w:rPr>
          <w:rFonts w:ascii="Times New Roman" w:hAnsi="Times New Roman"/>
          <w:sz w:val="26"/>
          <w:szCs w:val="26"/>
        </w:rPr>
        <w:t xml:space="preserve"> 2019 году Счетной палатой заключено соглашение о сотрудничестве с Межрегиональным управлением Федеральной службы по финансовому мониторингу по Северо-Западному федеральному округу.</w:t>
      </w:r>
    </w:p>
    <w:p w:rsidR="00FF5ECC" w:rsidRDefault="009B0076" w:rsidP="006244EB">
      <w:pPr>
        <w:spacing w:after="0" w:line="240" w:lineRule="auto"/>
        <w:ind w:firstLine="709"/>
        <w:jc w:val="both"/>
        <w:rPr>
          <w:rFonts w:ascii="Times New Roman" w:hAnsi="Times New Roman"/>
          <w:sz w:val="26"/>
          <w:szCs w:val="26"/>
        </w:rPr>
      </w:pPr>
      <w:r>
        <w:rPr>
          <w:rFonts w:ascii="Times New Roman" w:hAnsi="Times New Roman"/>
          <w:sz w:val="26"/>
          <w:szCs w:val="26"/>
        </w:rPr>
        <w:t>В</w:t>
      </w:r>
      <w:r w:rsidRPr="009B0076">
        <w:rPr>
          <w:rFonts w:ascii="Times New Roman" w:hAnsi="Times New Roman"/>
          <w:sz w:val="26"/>
          <w:szCs w:val="26"/>
        </w:rPr>
        <w:t xml:space="preserve"> рамках заключенного Соглашения </w:t>
      </w:r>
      <w:r>
        <w:rPr>
          <w:rFonts w:ascii="Times New Roman" w:hAnsi="Times New Roman"/>
          <w:sz w:val="26"/>
          <w:szCs w:val="26"/>
        </w:rPr>
        <w:t>в</w:t>
      </w:r>
      <w:r w:rsidR="00FF5ECC" w:rsidRPr="00326F91">
        <w:rPr>
          <w:rFonts w:ascii="Times New Roman" w:hAnsi="Times New Roman"/>
          <w:sz w:val="26"/>
          <w:szCs w:val="26"/>
        </w:rPr>
        <w:t xml:space="preserve"> </w:t>
      </w:r>
      <w:r w:rsidR="000D1446">
        <w:rPr>
          <w:rFonts w:ascii="Times New Roman" w:hAnsi="Times New Roman"/>
          <w:sz w:val="26"/>
          <w:szCs w:val="26"/>
        </w:rPr>
        <w:t>отчетном периоде</w:t>
      </w:r>
      <w:r w:rsidR="00533B08">
        <w:rPr>
          <w:rFonts w:ascii="Times New Roman" w:hAnsi="Times New Roman"/>
          <w:sz w:val="26"/>
          <w:szCs w:val="26"/>
        </w:rPr>
        <w:t xml:space="preserve"> в </w:t>
      </w:r>
      <w:r w:rsidR="00FF5ECC" w:rsidRPr="00326F91">
        <w:rPr>
          <w:rFonts w:ascii="Times New Roman" w:hAnsi="Times New Roman"/>
          <w:sz w:val="26"/>
          <w:szCs w:val="26"/>
        </w:rPr>
        <w:t>Следственн</w:t>
      </w:r>
      <w:r w:rsidR="00533B08">
        <w:rPr>
          <w:rFonts w:ascii="Times New Roman" w:hAnsi="Times New Roman"/>
          <w:sz w:val="26"/>
          <w:szCs w:val="26"/>
        </w:rPr>
        <w:t>ое</w:t>
      </w:r>
      <w:r w:rsidR="00FF5ECC" w:rsidRPr="00326F91">
        <w:rPr>
          <w:rFonts w:ascii="Times New Roman" w:hAnsi="Times New Roman"/>
          <w:sz w:val="26"/>
          <w:szCs w:val="26"/>
        </w:rPr>
        <w:t xml:space="preserve"> управление Следственного комитета Российской Федерации по Мурманской области в соответствии с постановлением Мурманской областной Думы от 20.10.2010 № 2178 </w:t>
      </w:r>
      <w:r w:rsidR="00533B08" w:rsidRPr="00533B08">
        <w:rPr>
          <w:rFonts w:ascii="Times New Roman" w:hAnsi="Times New Roman"/>
          <w:sz w:val="26"/>
          <w:szCs w:val="26"/>
        </w:rPr>
        <w:t xml:space="preserve">направлялись материалы всех контрольных мероприятий </w:t>
      </w:r>
      <w:r w:rsidR="00FF5ECC" w:rsidRPr="00326F91">
        <w:rPr>
          <w:rFonts w:ascii="Times New Roman" w:hAnsi="Times New Roman"/>
          <w:sz w:val="26"/>
          <w:szCs w:val="26"/>
        </w:rPr>
        <w:t>для рассмотрения и проведения процессуальных проверок.</w:t>
      </w:r>
      <w:r w:rsidR="00533B08">
        <w:rPr>
          <w:rFonts w:ascii="Times New Roman" w:hAnsi="Times New Roman"/>
          <w:sz w:val="26"/>
          <w:szCs w:val="26"/>
        </w:rPr>
        <w:t xml:space="preserve"> </w:t>
      </w:r>
      <w:r w:rsidR="00FF5ECC" w:rsidRPr="00326F91">
        <w:rPr>
          <w:rFonts w:ascii="Times New Roman" w:hAnsi="Times New Roman"/>
          <w:sz w:val="26"/>
          <w:szCs w:val="26"/>
        </w:rPr>
        <w:t xml:space="preserve"> </w:t>
      </w:r>
    </w:p>
    <w:p w:rsidR="00FF5ECC" w:rsidRPr="00326F91" w:rsidRDefault="00FF5ECC" w:rsidP="006244EB">
      <w:pPr>
        <w:spacing w:after="0" w:line="240" w:lineRule="auto"/>
        <w:ind w:firstLine="709"/>
        <w:jc w:val="both"/>
        <w:rPr>
          <w:rFonts w:ascii="Times New Roman" w:hAnsi="Times New Roman"/>
          <w:sz w:val="26"/>
          <w:szCs w:val="26"/>
        </w:rPr>
      </w:pPr>
      <w:r w:rsidRPr="00326F91">
        <w:rPr>
          <w:rFonts w:ascii="Times New Roman" w:hAnsi="Times New Roman"/>
          <w:sz w:val="26"/>
          <w:szCs w:val="26"/>
        </w:rPr>
        <w:t xml:space="preserve">На протяжении отчетного </w:t>
      </w:r>
      <w:r w:rsidR="009B0076">
        <w:rPr>
          <w:rFonts w:ascii="Times New Roman" w:hAnsi="Times New Roman"/>
          <w:sz w:val="26"/>
          <w:szCs w:val="26"/>
        </w:rPr>
        <w:t>периода</w:t>
      </w:r>
      <w:r w:rsidRPr="00326F91">
        <w:rPr>
          <w:rFonts w:ascii="Times New Roman" w:hAnsi="Times New Roman"/>
          <w:sz w:val="26"/>
          <w:szCs w:val="26"/>
        </w:rPr>
        <w:t xml:space="preserve"> по запросам профильных комиссий Совета контрольно-счетных органов при Счетной палате Российской Федерации  готовилась и направлялась соответствующая информация, в том числе предложения по совершенствованию правового и методологического обеспечения по осуществлению внешнего финансового контроля, по профессиональному обучению сотрудников контрольно-счетных органов.</w:t>
      </w:r>
    </w:p>
    <w:p w:rsidR="00FF5ECC" w:rsidRPr="004947FA" w:rsidRDefault="00FF5ECC" w:rsidP="006244EB">
      <w:pPr>
        <w:spacing w:after="0" w:line="240" w:lineRule="auto"/>
        <w:ind w:firstLine="709"/>
        <w:jc w:val="both"/>
        <w:rPr>
          <w:rFonts w:ascii="Times New Roman" w:hAnsi="Times New Roman"/>
          <w:sz w:val="10"/>
          <w:szCs w:val="10"/>
          <w:highlight w:val="yellow"/>
        </w:rPr>
      </w:pPr>
    </w:p>
    <w:p w:rsidR="00F654F7" w:rsidRDefault="00FF5ECC" w:rsidP="006244EB">
      <w:pPr>
        <w:spacing w:after="0" w:line="240" w:lineRule="auto"/>
        <w:ind w:firstLine="709"/>
        <w:jc w:val="both"/>
        <w:rPr>
          <w:rFonts w:ascii="Times New Roman" w:hAnsi="Times New Roman"/>
          <w:sz w:val="26"/>
          <w:szCs w:val="26"/>
        </w:rPr>
      </w:pPr>
      <w:r w:rsidRPr="00844B24">
        <w:rPr>
          <w:rFonts w:ascii="Times New Roman" w:hAnsi="Times New Roman"/>
          <w:sz w:val="26"/>
          <w:szCs w:val="26"/>
        </w:rPr>
        <w:t xml:space="preserve">  В течение отчетного периода Счетной палатой осуществлялось взаимодействие с контрольно-счетными органами муниципальных образований Мурманской области. </w:t>
      </w:r>
    </w:p>
    <w:p w:rsidR="00FF5ECC" w:rsidRDefault="00F654F7" w:rsidP="006244EB">
      <w:pPr>
        <w:spacing w:after="0" w:line="240" w:lineRule="auto"/>
        <w:ind w:firstLine="709"/>
        <w:jc w:val="both"/>
        <w:rPr>
          <w:rFonts w:ascii="Times New Roman" w:hAnsi="Times New Roman"/>
          <w:sz w:val="26"/>
          <w:szCs w:val="26"/>
        </w:rPr>
      </w:pPr>
      <w:r>
        <w:rPr>
          <w:rFonts w:ascii="Times New Roman" w:hAnsi="Times New Roman"/>
          <w:sz w:val="26"/>
          <w:szCs w:val="26"/>
        </w:rPr>
        <w:t xml:space="preserve">По </w:t>
      </w:r>
      <w:r w:rsidR="00FF5ECC" w:rsidRPr="00844B24">
        <w:rPr>
          <w:rFonts w:ascii="Times New Roman" w:hAnsi="Times New Roman"/>
          <w:sz w:val="26"/>
          <w:szCs w:val="26"/>
        </w:rPr>
        <w:t xml:space="preserve">состоянию на </w:t>
      </w:r>
      <w:r w:rsidR="005167AD">
        <w:rPr>
          <w:rFonts w:ascii="Times New Roman" w:hAnsi="Times New Roman"/>
          <w:sz w:val="26"/>
          <w:szCs w:val="26"/>
        </w:rPr>
        <w:t>01.01.2020</w:t>
      </w:r>
      <w:r>
        <w:rPr>
          <w:rFonts w:ascii="Times New Roman" w:hAnsi="Times New Roman"/>
          <w:sz w:val="26"/>
          <w:szCs w:val="26"/>
        </w:rPr>
        <w:t xml:space="preserve"> </w:t>
      </w:r>
      <w:r w:rsidR="00FF5ECC" w:rsidRPr="00844B24">
        <w:rPr>
          <w:rFonts w:ascii="Times New Roman" w:hAnsi="Times New Roman"/>
          <w:sz w:val="26"/>
          <w:szCs w:val="26"/>
        </w:rPr>
        <w:t>контрольно-счетные органы</w:t>
      </w:r>
      <w:r w:rsidR="00844B24" w:rsidRPr="00844B24">
        <w:rPr>
          <w:rFonts w:ascii="Times New Roman" w:hAnsi="Times New Roman"/>
          <w:sz w:val="26"/>
          <w:szCs w:val="26"/>
        </w:rPr>
        <w:t xml:space="preserve"> </w:t>
      </w:r>
      <w:r w:rsidR="00FF5ECC" w:rsidRPr="00844B24">
        <w:rPr>
          <w:rFonts w:ascii="Times New Roman" w:hAnsi="Times New Roman"/>
          <w:sz w:val="26"/>
          <w:szCs w:val="26"/>
        </w:rPr>
        <w:t>созданы в 1</w:t>
      </w:r>
      <w:r>
        <w:rPr>
          <w:rFonts w:ascii="Times New Roman" w:hAnsi="Times New Roman"/>
          <w:sz w:val="26"/>
          <w:szCs w:val="26"/>
        </w:rPr>
        <w:t xml:space="preserve">6 </w:t>
      </w:r>
      <w:r w:rsidR="00FF5ECC" w:rsidRPr="00844B24">
        <w:rPr>
          <w:rFonts w:ascii="Times New Roman" w:hAnsi="Times New Roman"/>
          <w:sz w:val="26"/>
          <w:szCs w:val="26"/>
        </w:rPr>
        <w:t xml:space="preserve">муниципальных образованиях Мурманской области, в том числе 4 в муниципальных районах (кроме </w:t>
      </w:r>
      <w:proofErr w:type="spellStart"/>
      <w:r w:rsidR="00FF5ECC" w:rsidRPr="00844B24">
        <w:rPr>
          <w:rFonts w:ascii="Times New Roman" w:hAnsi="Times New Roman"/>
          <w:sz w:val="26"/>
          <w:szCs w:val="26"/>
        </w:rPr>
        <w:t>Ловозерского</w:t>
      </w:r>
      <w:proofErr w:type="spellEnd"/>
      <w:r w:rsidR="00FF5ECC" w:rsidRPr="00844B24">
        <w:rPr>
          <w:rFonts w:ascii="Times New Roman" w:hAnsi="Times New Roman"/>
          <w:sz w:val="26"/>
          <w:szCs w:val="26"/>
        </w:rPr>
        <w:t xml:space="preserve"> района)</w:t>
      </w:r>
      <w:r>
        <w:rPr>
          <w:rFonts w:ascii="Times New Roman" w:hAnsi="Times New Roman"/>
          <w:sz w:val="26"/>
          <w:szCs w:val="26"/>
        </w:rPr>
        <w:t xml:space="preserve"> и</w:t>
      </w:r>
      <w:r w:rsidR="00FF5ECC" w:rsidRPr="00844B24">
        <w:rPr>
          <w:rFonts w:ascii="Times New Roman" w:hAnsi="Times New Roman"/>
          <w:sz w:val="26"/>
          <w:szCs w:val="26"/>
        </w:rPr>
        <w:t xml:space="preserve"> 12</w:t>
      </w:r>
      <w:r>
        <w:rPr>
          <w:rFonts w:ascii="Times New Roman" w:hAnsi="Times New Roman"/>
          <w:sz w:val="26"/>
          <w:szCs w:val="26"/>
        </w:rPr>
        <w:t xml:space="preserve"> </w:t>
      </w:r>
      <w:r w:rsidR="00FF5ECC" w:rsidRPr="00844B24">
        <w:rPr>
          <w:rFonts w:ascii="Times New Roman" w:hAnsi="Times New Roman"/>
          <w:sz w:val="26"/>
          <w:szCs w:val="26"/>
        </w:rPr>
        <w:t xml:space="preserve">в городских округах. </w:t>
      </w:r>
    </w:p>
    <w:p w:rsidR="001C68AF" w:rsidRDefault="001C68AF" w:rsidP="001C68AF">
      <w:pPr>
        <w:spacing w:after="0" w:line="240" w:lineRule="auto"/>
        <w:ind w:firstLine="709"/>
        <w:jc w:val="both"/>
        <w:rPr>
          <w:rFonts w:ascii="Times New Roman" w:hAnsi="Times New Roman"/>
          <w:sz w:val="26"/>
          <w:szCs w:val="26"/>
        </w:rPr>
      </w:pPr>
      <w:r>
        <w:rPr>
          <w:rFonts w:ascii="Times New Roman" w:hAnsi="Times New Roman"/>
          <w:sz w:val="26"/>
          <w:szCs w:val="26"/>
        </w:rPr>
        <w:t xml:space="preserve">В </w:t>
      </w:r>
      <w:r w:rsidRPr="001C68AF">
        <w:rPr>
          <w:rFonts w:ascii="Times New Roman" w:hAnsi="Times New Roman"/>
          <w:sz w:val="26"/>
          <w:szCs w:val="26"/>
        </w:rPr>
        <w:t>январ</w:t>
      </w:r>
      <w:r>
        <w:rPr>
          <w:rFonts w:ascii="Times New Roman" w:hAnsi="Times New Roman"/>
          <w:sz w:val="26"/>
          <w:szCs w:val="26"/>
        </w:rPr>
        <w:t>е 2019 года</w:t>
      </w:r>
      <w:r w:rsidRPr="001C68AF">
        <w:rPr>
          <w:rFonts w:ascii="Times New Roman" w:hAnsi="Times New Roman"/>
          <w:sz w:val="26"/>
          <w:szCs w:val="26"/>
        </w:rPr>
        <w:t xml:space="preserve"> </w:t>
      </w:r>
      <w:r>
        <w:rPr>
          <w:rFonts w:ascii="Times New Roman" w:hAnsi="Times New Roman"/>
          <w:sz w:val="26"/>
          <w:szCs w:val="26"/>
        </w:rPr>
        <w:t>на</w:t>
      </w:r>
      <w:r w:rsidRPr="001C68AF">
        <w:rPr>
          <w:rFonts w:ascii="Times New Roman" w:hAnsi="Times New Roman"/>
          <w:sz w:val="26"/>
          <w:szCs w:val="26"/>
        </w:rPr>
        <w:t xml:space="preserve"> заседани</w:t>
      </w:r>
      <w:r>
        <w:rPr>
          <w:rFonts w:ascii="Times New Roman" w:hAnsi="Times New Roman"/>
          <w:sz w:val="26"/>
          <w:szCs w:val="26"/>
        </w:rPr>
        <w:t>и</w:t>
      </w:r>
      <w:r w:rsidRPr="001C68AF">
        <w:rPr>
          <w:rFonts w:ascii="Times New Roman" w:hAnsi="Times New Roman"/>
          <w:sz w:val="26"/>
          <w:szCs w:val="26"/>
        </w:rPr>
        <w:t xml:space="preserve"> Совета контрольно-счетных органов Мурманской области было принято решение об утверждении нового Положения о Совете контрольно-счетных органов Мурманской области, актуализированного к нормам  действующего законодательства и учитывающее отдельные вопросы по организации работы и взаимодействию контрольно-счетных органов. </w:t>
      </w:r>
      <w:r w:rsidR="005167AD">
        <w:rPr>
          <w:rFonts w:ascii="Times New Roman" w:hAnsi="Times New Roman"/>
          <w:sz w:val="26"/>
          <w:szCs w:val="26"/>
        </w:rPr>
        <w:t xml:space="preserve">Кроме того, </w:t>
      </w:r>
      <w:r w:rsidRPr="001C68AF">
        <w:rPr>
          <w:rFonts w:ascii="Times New Roman" w:hAnsi="Times New Roman"/>
          <w:sz w:val="26"/>
          <w:szCs w:val="26"/>
        </w:rPr>
        <w:t>были рассмотрены вопросы о методологическом обеспечении деятельности органов внешнего финансового контроля, о реализации плана работы Совета в 2019 году и взаимодействии контрольно-счетных органов в проведении совместных мероприятий.</w:t>
      </w:r>
    </w:p>
    <w:p w:rsidR="001C68AF" w:rsidRPr="009954DF" w:rsidRDefault="001C68AF" w:rsidP="001C68AF">
      <w:pPr>
        <w:spacing w:after="0" w:line="240" w:lineRule="auto"/>
        <w:ind w:firstLine="709"/>
        <w:jc w:val="both"/>
        <w:rPr>
          <w:rFonts w:ascii="Times New Roman" w:hAnsi="Times New Roman"/>
          <w:sz w:val="26"/>
          <w:szCs w:val="26"/>
          <w:highlight w:val="yellow"/>
        </w:rPr>
      </w:pPr>
      <w:r>
        <w:rPr>
          <w:rFonts w:ascii="Times New Roman" w:hAnsi="Times New Roman"/>
          <w:sz w:val="26"/>
          <w:szCs w:val="26"/>
        </w:rPr>
        <w:t>Счетная палата в</w:t>
      </w:r>
      <w:r w:rsidRPr="001C68AF">
        <w:rPr>
          <w:rFonts w:ascii="Times New Roman" w:hAnsi="Times New Roman"/>
          <w:sz w:val="26"/>
          <w:szCs w:val="26"/>
        </w:rPr>
        <w:t xml:space="preserve"> июл</w:t>
      </w:r>
      <w:r>
        <w:rPr>
          <w:rFonts w:ascii="Times New Roman" w:hAnsi="Times New Roman"/>
          <w:sz w:val="26"/>
          <w:szCs w:val="26"/>
        </w:rPr>
        <w:t>е</w:t>
      </w:r>
      <w:r w:rsidRPr="001C68AF">
        <w:rPr>
          <w:rFonts w:ascii="Times New Roman" w:hAnsi="Times New Roman"/>
          <w:sz w:val="26"/>
          <w:szCs w:val="26"/>
        </w:rPr>
        <w:t xml:space="preserve"> 2019 года в рамках выполнения мероприятий плана работы Совета контрольно-счетных органов Мурманской области на 2019 год и в целях реализации имеющихся телекоммуникационных ресурсов, для повышения эффективности и оперативности  информационной и методологической деятельности </w:t>
      </w:r>
      <w:r w:rsidRPr="001C68AF">
        <w:rPr>
          <w:rFonts w:ascii="Times New Roman" w:hAnsi="Times New Roman"/>
          <w:sz w:val="26"/>
          <w:szCs w:val="26"/>
        </w:rPr>
        <w:lastRenderedPageBreak/>
        <w:t>в части организации и проведения тематических круглых столов или семинаров по актуальным вопросам осуществления внешнего государственного и муниципального финансового контроля и обмену опытом, организовала и провела первую видеоконференцию (в режиме тестового сеанса) с контрольно-счетными органами пяти муниципальных образований  (г. Мурманск, г. Мончегорск, г. Кировск, г. Полярные Зори и Кандалакшский район)</w:t>
      </w:r>
      <w:r w:rsidR="0034525A">
        <w:rPr>
          <w:rFonts w:ascii="Times New Roman" w:hAnsi="Times New Roman"/>
          <w:sz w:val="26"/>
          <w:szCs w:val="26"/>
        </w:rPr>
        <w:t>.</w:t>
      </w:r>
    </w:p>
    <w:p w:rsidR="00FF5ECC" w:rsidRPr="001C68AF" w:rsidRDefault="00FF5ECC" w:rsidP="006244EB">
      <w:pPr>
        <w:spacing w:after="0" w:line="240" w:lineRule="auto"/>
        <w:ind w:firstLine="709"/>
        <w:jc w:val="both"/>
        <w:rPr>
          <w:rFonts w:ascii="Times New Roman" w:hAnsi="Times New Roman"/>
          <w:sz w:val="26"/>
          <w:szCs w:val="26"/>
        </w:rPr>
      </w:pPr>
      <w:r w:rsidRPr="001C68AF">
        <w:rPr>
          <w:rFonts w:ascii="Times New Roman" w:hAnsi="Times New Roman"/>
          <w:sz w:val="26"/>
          <w:szCs w:val="26"/>
        </w:rPr>
        <w:t>Также в отчетном периоде контрольно-счетным органам муниципальных образований оказывалась правовая, информационная и методологическая помощь по осуществлению внешнего финансового контроля, проводились совместные мероприятия.</w:t>
      </w:r>
    </w:p>
    <w:p w:rsidR="00FF5ECC" w:rsidRDefault="00FF5ECC" w:rsidP="006244EB">
      <w:pPr>
        <w:spacing w:after="0" w:line="240" w:lineRule="auto"/>
        <w:ind w:firstLine="709"/>
        <w:jc w:val="both"/>
        <w:rPr>
          <w:rFonts w:ascii="Times New Roman" w:hAnsi="Times New Roman"/>
          <w:sz w:val="26"/>
          <w:szCs w:val="26"/>
        </w:rPr>
      </w:pPr>
      <w:r w:rsidRPr="00CA1F93">
        <w:rPr>
          <w:rFonts w:ascii="Times New Roman" w:hAnsi="Times New Roman"/>
          <w:sz w:val="26"/>
          <w:szCs w:val="26"/>
        </w:rPr>
        <w:t>В 201</w:t>
      </w:r>
      <w:r w:rsidR="00CA1F93" w:rsidRPr="00CA1F93">
        <w:rPr>
          <w:rFonts w:ascii="Times New Roman" w:hAnsi="Times New Roman"/>
          <w:sz w:val="26"/>
          <w:szCs w:val="26"/>
        </w:rPr>
        <w:t>9</w:t>
      </w:r>
      <w:r w:rsidRPr="00CA1F93">
        <w:rPr>
          <w:rFonts w:ascii="Times New Roman" w:hAnsi="Times New Roman"/>
          <w:sz w:val="26"/>
          <w:szCs w:val="26"/>
        </w:rPr>
        <w:t xml:space="preserve"> году сотрудники Счетной палаты участвовали в заседаниях Мурманской областной Думы, Правительства Мурманской области и комитетов Мурманской областной Думы.  В соответствии с требованиями Федерального закона от 02.05.2006 № 59-ФЗ «О порядке рассмотрения обращений граждан Российской Федерации» Счетная палата осуществляла работу с обращениями граждан и организаций. На все поступившие в отчетном году обращения от граждан и организаций подготовлены и направлены ответы.</w:t>
      </w:r>
    </w:p>
    <w:p w:rsidR="002C49D3" w:rsidRDefault="002C49D3" w:rsidP="006244EB">
      <w:pPr>
        <w:spacing w:after="0" w:line="240" w:lineRule="auto"/>
        <w:ind w:firstLine="709"/>
        <w:jc w:val="both"/>
        <w:rPr>
          <w:rFonts w:ascii="Times New Roman" w:hAnsi="Times New Roman"/>
          <w:sz w:val="26"/>
          <w:szCs w:val="26"/>
        </w:rPr>
      </w:pPr>
    </w:p>
    <w:p w:rsidR="00890A93" w:rsidRPr="000D1446" w:rsidRDefault="00B41545" w:rsidP="006244EB">
      <w:pPr>
        <w:spacing w:after="0" w:line="240" w:lineRule="auto"/>
        <w:ind w:firstLine="709"/>
        <w:jc w:val="center"/>
        <w:rPr>
          <w:rFonts w:ascii="Times New Roman" w:eastAsia="Calibri" w:hAnsi="Times New Roman"/>
          <w:b/>
          <w:sz w:val="28"/>
          <w:szCs w:val="28"/>
          <w:lang w:eastAsia="en-US"/>
        </w:rPr>
      </w:pPr>
      <w:r w:rsidRPr="000D1446">
        <w:rPr>
          <w:rFonts w:ascii="Times New Roman" w:eastAsia="Calibri" w:hAnsi="Times New Roman"/>
          <w:b/>
          <w:sz w:val="28"/>
          <w:szCs w:val="28"/>
          <w:lang w:val="en-US" w:eastAsia="en-US"/>
        </w:rPr>
        <w:t>V</w:t>
      </w:r>
      <w:r w:rsidR="00185975">
        <w:rPr>
          <w:rFonts w:ascii="Times New Roman" w:eastAsia="Calibri" w:hAnsi="Times New Roman"/>
          <w:b/>
          <w:sz w:val="28"/>
          <w:szCs w:val="28"/>
          <w:lang w:val="en-US" w:eastAsia="en-US"/>
        </w:rPr>
        <w:t>I</w:t>
      </w:r>
      <w:r w:rsidR="00890A93" w:rsidRPr="000D1446">
        <w:rPr>
          <w:rFonts w:ascii="Times New Roman" w:eastAsia="Calibri" w:hAnsi="Times New Roman"/>
          <w:b/>
          <w:sz w:val="28"/>
          <w:szCs w:val="28"/>
          <w:lang w:eastAsia="en-US"/>
        </w:rPr>
        <w:t>. Основные задачи в деятельности Счетной палаты</w:t>
      </w:r>
    </w:p>
    <w:p w:rsidR="00A948E7" w:rsidRPr="009954DF" w:rsidRDefault="00A948E7" w:rsidP="006244EB">
      <w:pPr>
        <w:spacing w:after="0" w:line="240" w:lineRule="auto"/>
        <w:ind w:firstLine="709"/>
        <w:jc w:val="center"/>
        <w:rPr>
          <w:rFonts w:ascii="Times New Roman" w:eastAsia="Calibri" w:hAnsi="Times New Roman"/>
          <w:b/>
          <w:sz w:val="16"/>
          <w:szCs w:val="16"/>
          <w:highlight w:val="yellow"/>
          <w:lang w:eastAsia="en-US"/>
        </w:rPr>
      </w:pPr>
    </w:p>
    <w:p w:rsidR="000D1446" w:rsidRPr="000D1446" w:rsidRDefault="000D1446" w:rsidP="00583FB9">
      <w:pPr>
        <w:suppressAutoHyphens/>
        <w:spacing w:after="0" w:line="240" w:lineRule="auto"/>
        <w:ind w:firstLine="709"/>
        <w:jc w:val="both"/>
        <w:rPr>
          <w:rFonts w:ascii="Times New Roman" w:hAnsi="Times New Roman"/>
          <w:sz w:val="26"/>
          <w:szCs w:val="26"/>
          <w:lang w:eastAsia="en-US"/>
        </w:rPr>
      </w:pPr>
      <w:r w:rsidRPr="000D1446">
        <w:rPr>
          <w:rFonts w:ascii="Times New Roman" w:hAnsi="Times New Roman"/>
          <w:sz w:val="26"/>
          <w:szCs w:val="26"/>
        </w:rPr>
        <w:t xml:space="preserve">   Наряду с выполнением законодательно установленных полномочий, к </w:t>
      </w:r>
      <w:r w:rsidRPr="000D1446">
        <w:rPr>
          <w:rFonts w:ascii="Times New Roman" w:hAnsi="Times New Roman"/>
          <w:sz w:val="26"/>
          <w:szCs w:val="26"/>
          <w:lang w:eastAsia="en-US"/>
        </w:rPr>
        <w:t>приоритетным задачам для деятельности Счетной палаты на ближайшую перспективу следует отнести:</w:t>
      </w:r>
    </w:p>
    <w:p w:rsidR="000D1446" w:rsidRPr="000D1446" w:rsidRDefault="000D1446" w:rsidP="00583FB9">
      <w:pPr>
        <w:suppressAutoHyphens/>
        <w:spacing w:after="0" w:line="240" w:lineRule="auto"/>
        <w:ind w:firstLine="709"/>
        <w:jc w:val="both"/>
        <w:rPr>
          <w:rFonts w:ascii="Times New Roman" w:hAnsi="Times New Roman"/>
          <w:sz w:val="26"/>
          <w:szCs w:val="26"/>
          <w:lang w:eastAsia="en-US"/>
        </w:rPr>
      </w:pPr>
      <w:r w:rsidRPr="000D1446">
        <w:rPr>
          <w:rFonts w:ascii="Times New Roman" w:hAnsi="Times New Roman"/>
          <w:sz w:val="26"/>
          <w:szCs w:val="26"/>
          <w:lang w:eastAsia="en-US"/>
        </w:rPr>
        <w:t xml:space="preserve">   </w:t>
      </w:r>
      <w:r w:rsidR="00583FB9">
        <w:rPr>
          <w:rFonts w:ascii="Times New Roman" w:hAnsi="Times New Roman"/>
          <w:sz w:val="26"/>
          <w:szCs w:val="26"/>
          <w:lang w:eastAsia="en-US"/>
        </w:rPr>
        <w:sym w:font="Symbol" w:char="F0B7"/>
      </w:r>
      <w:r w:rsidRPr="000D1446">
        <w:rPr>
          <w:rFonts w:ascii="Times New Roman" w:hAnsi="Times New Roman"/>
          <w:sz w:val="26"/>
          <w:szCs w:val="26"/>
          <w:lang w:eastAsia="en-US"/>
        </w:rPr>
        <w:t xml:space="preserve"> осуществление контроля за реализацией национальных проектов посредством контроля за использованием бюджетных средств на реализацию региональных проектов и участие Счетной палаты в работе межведомственной рабочей группы по мониторингу информации о правонарушениях, выявляемых в ходе исполнения региональных проектов, реализуемых в рамках национальных проектов в Мурманской области; </w:t>
      </w:r>
    </w:p>
    <w:p w:rsidR="000D1446" w:rsidRPr="000D1446" w:rsidRDefault="000D1446" w:rsidP="00583FB9">
      <w:pPr>
        <w:suppressAutoHyphens/>
        <w:spacing w:after="0" w:line="240" w:lineRule="auto"/>
        <w:ind w:firstLine="709"/>
        <w:jc w:val="both"/>
        <w:rPr>
          <w:rFonts w:ascii="Times New Roman" w:hAnsi="Times New Roman"/>
          <w:sz w:val="26"/>
          <w:szCs w:val="26"/>
          <w:lang w:eastAsia="en-US"/>
        </w:rPr>
      </w:pPr>
      <w:r w:rsidRPr="000D1446">
        <w:rPr>
          <w:rFonts w:ascii="Times New Roman" w:hAnsi="Times New Roman"/>
          <w:sz w:val="26"/>
          <w:szCs w:val="26"/>
          <w:lang w:eastAsia="en-US"/>
        </w:rPr>
        <w:t xml:space="preserve">  </w:t>
      </w:r>
      <w:r w:rsidR="00583FB9">
        <w:rPr>
          <w:rFonts w:ascii="Times New Roman" w:hAnsi="Times New Roman"/>
          <w:sz w:val="26"/>
          <w:szCs w:val="26"/>
          <w:lang w:eastAsia="en-US"/>
        </w:rPr>
        <w:sym w:font="Symbol" w:char="F0B7"/>
      </w:r>
      <w:r w:rsidRPr="000D1446">
        <w:rPr>
          <w:rFonts w:ascii="Times New Roman" w:hAnsi="Times New Roman"/>
          <w:sz w:val="26"/>
          <w:szCs w:val="26"/>
          <w:lang w:eastAsia="en-US"/>
        </w:rPr>
        <w:t xml:space="preserve"> соотнесение документов стратегического планирования с ресурсным обеспечением принимаемых расходных и бюджетных обязательств Мурманской области, а также оценка результативности использования бюджетных средств по данным обязательствам;</w:t>
      </w:r>
    </w:p>
    <w:p w:rsidR="000D1446" w:rsidRPr="000D1446" w:rsidRDefault="000D1446" w:rsidP="00583FB9">
      <w:pPr>
        <w:suppressAutoHyphens/>
        <w:spacing w:after="0" w:line="240" w:lineRule="auto"/>
        <w:ind w:firstLine="709"/>
        <w:jc w:val="both"/>
        <w:rPr>
          <w:rFonts w:ascii="Times New Roman" w:hAnsi="Times New Roman"/>
          <w:sz w:val="26"/>
          <w:szCs w:val="26"/>
          <w:lang w:eastAsia="en-US"/>
        </w:rPr>
      </w:pPr>
      <w:r w:rsidRPr="000D1446">
        <w:rPr>
          <w:rFonts w:ascii="Times New Roman" w:hAnsi="Times New Roman"/>
          <w:sz w:val="26"/>
          <w:szCs w:val="26"/>
          <w:lang w:eastAsia="en-US"/>
        </w:rPr>
        <w:t xml:space="preserve">  </w:t>
      </w:r>
      <w:r w:rsidR="00583FB9">
        <w:rPr>
          <w:rFonts w:ascii="Times New Roman" w:hAnsi="Times New Roman"/>
          <w:sz w:val="26"/>
          <w:szCs w:val="26"/>
          <w:lang w:eastAsia="en-US"/>
        </w:rPr>
        <w:sym w:font="Symbol" w:char="F0B7"/>
      </w:r>
      <w:r w:rsidRPr="000D1446">
        <w:rPr>
          <w:rFonts w:ascii="Times New Roman" w:hAnsi="Times New Roman"/>
          <w:sz w:val="26"/>
          <w:szCs w:val="26"/>
          <w:lang w:eastAsia="en-US"/>
        </w:rPr>
        <w:t xml:space="preserve"> выявление в ходе осуществления мероприятий предварительного и последующего финансового контроля системных ошибок и системных проблем в вопросах использования средств областного бюджета, бюджета ТФОМС, порядка управления и распоряжения государственной собственностью Мурманской области, внесение предложений органам государственной власти и местного самоуправления по  совершенствованию  и приведению  нормативной правовой базы в соответствие с требованиями законодательства;</w:t>
      </w:r>
    </w:p>
    <w:p w:rsidR="000D1446" w:rsidRPr="000D1446" w:rsidRDefault="000D1446" w:rsidP="00583FB9">
      <w:pPr>
        <w:suppressAutoHyphens/>
        <w:spacing w:after="0" w:line="240" w:lineRule="auto"/>
        <w:ind w:firstLine="709"/>
        <w:jc w:val="both"/>
        <w:rPr>
          <w:rFonts w:ascii="Times New Roman" w:hAnsi="Times New Roman"/>
          <w:sz w:val="26"/>
          <w:szCs w:val="26"/>
          <w:lang w:eastAsia="en-US"/>
        </w:rPr>
      </w:pPr>
      <w:r w:rsidRPr="000D1446">
        <w:rPr>
          <w:rFonts w:ascii="Times New Roman" w:hAnsi="Times New Roman"/>
          <w:sz w:val="26"/>
          <w:szCs w:val="26"/>
          <w:lang w:eastAsia="en-US"/>
        </w:rPr>
        <w:t xml:space="preserve">  </w:t>
      </w:r>
      <w:r w:rsidR="00583FB9">
        <w:rPr>
          <w:rFonts w:ascii="Times New Roman" w:hAnsi="Times New Roman"/>
          <w:sz w:val="26"/>
          <w:szCs w:val="26"/>
          <w:lang w:eastAsia="en-US"/>
        </w:rPr>
        <w:sym w:font="Symbol" w:char="F0B7"/>
      </w:r>
      <w:r w:rsidRPr="000D1446">
        <w:rPr>
          <w:rFonts w:ascii="Times New Roman" w:hAnsi="Times New Roman"/>
          <w:sz w:val="26"/>
          <w:szCs w:val="26"/>
          <w:lang w:eastAsia="en-US"/>
        </w:rPr>
        <w:t xml:space="preserve"> совершенствование методологического и информационного обеспечения деятельности Счетной палаты, расширение практики участия должностных лиц Счетной палаты в видеоконференциях в целях профессионального обучения, обмена опытом, подготовки к совместным со Счетной палатой Российской </w:t>
      </w:r>
      <w:proofErr w:type="gramStart"/>
      <w:r w:rsidRPr="000D1446">
        <w:rPr>
          <w:rFonts w:ascii="Times New Roman" w:hAnsi="Times New Roman"/>
          <w:sz w:val="26"/>
          <w:szCs w:val="26"/>
          <w:lang w:eastAsia="en-US"/>
        </w:rPr>
        <w:t>Федерации  мероприятиям</w:t>
      </w:r>
      <w:proofErr w:type="gramEnd"/>
      <w:r w:rsidRPr="000D1446">
        <w:rPr>
          <w:rFonts w:ascii="Times New Roman" w:hAnsi="Times New Roman"/>
          <w:sz w:val="26"/>
          <w:szCs w:val="26"/>
          <w:lang w:eastAsia="en-US"/>
        </w:rPr>
        <w:t xml:space="preserve">; </w:t>
      </w:r>
    </w:p>
    <w:p w:rsidR="000D1446" w:rsidRPr="000D1446" w:rsidRDefault="000D1446" w:rsidP="00583FB9">
      <w:pPr>
        <w:suppressAutoHyphens/>
        <w:spacing w:after="0" w:line="240" w:lineRule="auto"/>
        <w:ind w:firstLine="709"/>
        <w:jc w:val="both"/>
        <w:rPr>
          <w:rFonts w:ascii="Times New Roman" w:hAnsi="Times New Roman"/>
          <w:sz w:val="26"/>
          <w:szCs w:val="26"/>
          <w:lang w:eastAsia="en-US"/>
        </w:rPr>
      </w:pPr>
      <w:r w:rsidRPr="000D1446">
        <w:rPr>
          <w:rFonts w:ascii="Times New Roman" w:hAnsi="Times New Roman"/>
          <w:sz w:val="26"/>
          <w:szCs w:val="26"/>
          <w:lang w:eastAsia="en-US"/>
        </w:rPr>
        <w:t xml:space="preserve">  </w:t>
      </w:r>
      <w:r w:rsidR="00583FB9">
        <w:rPr>
          <w:rFonts w:ascii="Times New Roman" w:hAnsi="Times New Roman"/>
          <w:sz w:val="26"/>
          <w:szCs w:val="26"/>
          <w:lang w:eastAsia="en-US"/>
        </w:rPr>
        <w:sym w:font="Symbol" w:char="F0B7"/>
      </w:r>
      <w:r w:rsidRPr="000D1446">
        <w:rPr>
          <w:rFonts w:ascii="Times New Roman" w:hAnsi="Times New Roman"/>
          <w:sz w:val="26"/>
          <w:szCs w:val="26"/>
          <w:lang w:eastAsia="en-US"/>
        </w:rPr>
        <w:t xml:space="preserve">  взаимодействи</w:t>
      </w:r>
      <w:r w:rsidR="002624EF">
        <w:rPr>
          <w:rFonts w:ascii="Times New Roman" w:hAnsi="Times New Roman"/>
          <w:sz w:val="26"/>
          <w:szCs w:val="26"/>
          <w:lang w:eastAsia="en-US"/>
        </w:rPr>
        <w:t>е</w:t>
      </w:r>
      <w:r w:rsidRPr="000D1446">
        <w:rPr>
          <w:rFonts w:ascii="Times New Roman" w:hAnsi="Times New Roman"/>
          <w:sz w:val="26"/>
          <w:szCs w:val="26"/>
          <w:lang w:eastAsia="en-US"/>
        </w:rPr>
        <w:t xml:space="preserve"> с Мурманской областной Думой при составлении плана работы на очередной финансовый год и рассмотрении результатов проведенных мероприятий внешнего государственного финансового контроля; </w:t>
      </w:r>
    </w:p>
    <w:p w:rsidR="000D1446" w:rsidRPr="000D1446" w:rsidRDefault="00583FB9" w:rsidP="00583FB9">
      <w:pPr>
        <w:suppressAutoHyphens/>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lastRenderedPageBreak/>
        <w:t xml:space="preserve">  </w:t>
      </w:r>
      <w:r>
        <w:rPr>
          <w:rFonts w:ascii="Times New Roman" w:hAnsi="Times New Roman"/>
          <w:sz w:val="26"/>
          <w:szCs w:val="26"/>
          <w:lang w:eastAsia="en-US"/>
        </w:rPr>
        <w:sym w:font="Symbol" w:char="F0B7"/>
      </w:r>
      <w:r w:rsidR="000D1446" w:rsidRPr="000D1446">
        <w:rPr>
          <w:rFonts w:ascii="Times New Roman" w:hAnsi="Times New Roman"/>
          <w:sz w:val="26"/>
          <w:szCs w:val="26"/>
          <w:lang w:eastAsia="en-US"/>
        </w:rPr>
        <w:t xml:space="preserve"> эффективное взаимодействие с правоохранительными и надзорными органами в рамках заключенных соглашений о сотрудничестве по выявлению и пресечению нарушений законодательства;</w:t>
      </w:r>
    </w:p>
    <w:p w:rsidR="000D1446" w:rsidRPr="000D1446" w:rsidRDefault="000D1446" w:rsidP="00583FB9">
      <w:pPr>
        <w:suppressAutoHyphens/>
        <w:spacing w:after="0" w:line="240" w:lineRule="auto"/>
        <w:ind w:firstLine="709"/>
        <w:jc w:val="both"/>
        <w:rPr>
          <w:rFonts w:ascii="Times New Roman" w:hAnsi="Times New Roman"/>
          <w:sz w:val="26"/>
          <w:szCs w:val="26"/>
          <w:lang w:eastAsia="en-US"/>
        </w:rPr>
      </w:pPr>
      <w:r w:rsidRPr="000D1446">
        <w:rPr>
          <w:rFonts w:ascii="Times New Roman" w:hAnsi="Times New Roman"/>
          <w:sz w:val="26"/>
          <w:szCs w:val="26"/>
          <w:lang w:eastAsia="en-US"/>
        </w:rPr>
        <w:t xml:space="preserve">  </w:t>
      </w:r>
      <w:r w:rsidR="00583FB9">
        <w:rPr>
          <w:rFonts w:ascii="Times New Roman" w:hAnsi="Times New Roman"/>
          <w:sz w:val="26"/>
          <w:szCs w:val="26"/>
          <w:lang w:eastAsia="en-US"/>
        </w:rPr>
        <w:sym w:font="Symbol" w:char="F0B7"/>
      </w:r>
      <w:r w:rsidRPr="000D1446">
        <w:rPr>
          <w:rFonts w:ascii="Times New Roman" w:hAnsi="Times New Roman"/>
          <w:sz w:val="26"/>
          <w:szCs w:val="26"/>
          <w:lang w:eastAsia="en-US"/>
        </w:rPr>
        <w:t xml:space="preserve"> организация взаимодействия со Счетной палатой Российской Федерации и комиссиями Совета контрольно-счетных органов при Счетной палате Российской Федерации;</w:t>
      </w:r>
    </w:p>
    <w:p w:rsidR="00AE692F" w:rsidRDefault="000D1446" w:rsidP="00583FB9">
      <w:pPr>
        <w:suppressAutoHyphens/>
        <w:spacing w:after="0" w:line="240" w:lineRule="auto"/>
        <w:ind w:firstLine="709"/>
        <w:jc w:val="both"/>
        <w:rPr>
          <w:rFonts w:ascii="Times New Roman" w:hAnsi="Times New Roman"/>
          <w:sz w:val="26"/>
          <w:szCs w:val="26"/>
          <w:lang w:eastAsia="en-US"/>
        </w:rPr>
      </w:pPr>
      <w:r w:rsidRPr="000D1446">
        <w:rPr>
          <w:rFonts w:ascii="Times New Roman" w:hAnsi="Times New Roman"/>
          <w:sz w:val="26"/>
          <w:szCs w:val="26"/>
          <w:lang w:eastAsia="en-US"/>
        </w:rPr>
        <w:t xml:space="preserve">  </w:t>
      </w:r>
      <w:r w:rsidR="00583FB9">
        <w:rPr>
          <w:rFonts w:ascii="Times New Roman" w:hAnsi="Times New Roman"/>
          <w:sz w:val="26"/>
          <w:szCs w:val="26"/>
          <w:lang w:eastAsia="en-US"/>
        </w:rPr>
        <w:sym w:font="Symbol" w:char="F0B7"/>
      </w:r>
      <w:r w:rsidRPr="000D1446">
        <w:rPr>
          <w:rFonts w:ascii="Times New Roman" w:hAnsi="Times New Roman"/>
          <w:sz w:val="26"/>
          <w:szCs w:val="26"/>
          <w:lang w:eastAsia="en-US"/>
        </w:rPr>
        <w:t xml:space="preserve"> организация взаимодействия с контрольно-счетными органами муниципальных образований, в том числе проведение совместных мероприятий внешнего финансового контроля, «круглых столов» и консультаций, а также участие в реализации норм законодательства в части передачи полномочий Счетной палате по осуществлению внешнего муниципального финансового контроля.</w:t>
      </w:r>
    </w:p>
    <w:p w:rsidR="000D1446" w:rsidRDefault="000D1446" w:rsidP="00583FB9">
      <w:pPr>
        <w:suppressAutoHyphens/>
        <w:spacing w:after="0" w:line="240" w:lineRule="auto"/>
        <w:ind w:firstLine="709"/>
        <w:jc w:val="both"/>
        <w:rPr>
          <w:rFonts w:ascii="Times New Roman" w:hAnsi="Times New Roman"/>
          <w:sz w:val="26"/>
          <w:szCs w:val="26"/>
          <w:lang w:eastAsia="en-US"/>
        </w:rPr>
      </w:pPr>
    </w:p>
    <w:p w:rsidR="000D1446" w:rsidRPr="009954DF" w:rsidRDefault="000D1446" w:rsidP="000D1446">
      <w:pPr>
        <w:spacing w:after="0" w:line="240" w:lineRule="auto"/>
        <w:jc w:val="both"/>
        <w:rPr>
          <w:rFonts w:ascii="Times New Roman" w:hAnsi="Times New Roman"/>
          <w:sz w:val="26"/>
          <w:szCs w:val="26"/>
          <w:highlight w:val="yellow"/>
        </w:rPr>
      </w:pPr>
    </w:p>
    <w:p w:rsidR="0039530B" w:rsidRPr="003B7885" w:rsidRDefault="0039530B" w:rsidP="006244EB">
      <w:pPr>
        <w:spacing w:after="0" w:line="240" w:lineRule="auto"/>
        <w:ind w:firstLine="708"/>
        <w:jc w:val="both"/>
        <w:rPr>
          <w:rFonts w:ascii="Times New Roman" w:hAnsi="Times New Roman"/>
          <w:sz w:val="26"/>
          <w:szCs w:val="26"/>
        </w:rPr>
      </w:pPr>
      <w:proofErr w:type="gramStart"/>
      <w:r w:rsidRPr="003B7885">
        <w:rPr>
          <w:rFonts w:ascii="Times New Roman" w:hAnsi="Times New Roman"/>
          <w:sz w:val="26"/>
          <w:szCs w:val="26"/>
        </w:rPr>
        <w:t xml:space="preserve">Приложения: </w:t>
      </w:r>
      <w:r w:rsidR="00B17870" w:rsidRPr="003B7885">
        <w:rPr>
          <w:rFonts w:ascii="Times New Roman" w:hAnsi="Times New Roman"/>
          <w:sz w:val="26"/>
          <w:szCs w:val="26"/>
        </w:rPr>
        <w:t xml:space="preserve"> </w:t>
      </w:r>
      <w:r w:rsidRPr="003B7885">
        <w:rPr>
          <w:rFonts w:ascii="Times New Roman" w:hAnsi="Times New Roman"/>
          <w:sz w:val="26"/>
          <w:szCs w:val="26"/>
        </w:rPr>
        <w:t>приложение</w:t>
      </w:r>
      <w:proofErr w:type="gramEnd"/>
      <w:r w:rsidRPr="003B7885">
        <w:rPr>
          <w:rFonts w:ascii="Times New Roman" w:hAnsi="Times New Roman"/>
          <w:sz w:val="26"/>
          <w:szCs w:val="26"/>
        </w:rPr>
        <w:t xml:space="preserve"> № 1 к отчету на </w:t>
      </w:r>
      <w:r w:rsidR="00580DEB">
        <w:rPr>
          <w:rFonts w:ascii="Times New Roman" w:hAnsi="Times New Roman"/>
          <w:sz w:val="26"/>
          <w:szCs w:val="26"/>
        </w:rPr>
        <w:t>3</w:t>
      </w:r>
      <w:r w:rsidR="007C02C1" w:rsidRPr="003B7885">
        <w:rPr>
          <w:rFonts w:ascii="Times New Roman" w:hAnsi="Times New Roman"/>
          <w:sz w:val="26"/>
          <w:szCs w:val="26"/>
        </w:rPr>
        <w:t xml:space="preserve"> </w:t>
      </w:r>
      <w:r w:rsidR="00286DE1" w:rsidRPr="003B7885">
        <w:rPr>
          <w:rFonts w:ascii="Times New Roman" w:hAnsi="Times New Roman"/>
          <w:sz w:val="26"/>
          <w:szCs w:val="26"/>
        </w:rPr>
        <w:t>стр</w:t>
      </w:r>
      <w:r w:rsidR="007C02C1" w:rsidRPr="003B7885">
        <w:rPr>
          <w:rFonts w:ascii="Times New Roman" w:hAnsi="Times New Roman"/>
          <w:sz w:val="26"/>
          <w:szCs w:val="26"/>
        </w:rPr>
        <w:t>.</w:t>
      </w:r>
      <w:r w:rsidRPr="003B7885">
        <w:rPr>
          <w:rFonts w:ascii="Times New Roman" w:hAnsi="Times New Roman"/>
          <w:sz w:val="26"/>
          <w:szCs w:val="26"/>
        </w:rPr>
        <w:t xml:space="preserve"> в 1 экз.;</w:t>
      </w:r>
    </w:p>
    <w:p w:rsidR="0039530B" w:rsidRPr="003B7885" w:rsidRDefault="007C02C1" w:rsidP="006244EB">
      <w:pPr>
        <w:spacing w:after="0" w:line="240" w:lineRule="auto"/>
        <w:ind w:left="2124"/>
        <w:jc w:val="both"/>
        <w:rPr>
          <w:rFonts w:ascii="Times New Roman" w:hAnsi="Times New Roman"/>
          <w:sz w:val="26"/>
          <w:szCs w:val="26"/>
        </w:rPr>
      </w:pPr>
      <w:r w:rsidRPr="003B7885">
        <w:rPr>
          <w:rFonts w:ascii="Times New Roman" w:hAnsi="Times New Roman"/>
          <w:sz w:val="26"/>
          <w:szCs w:val="26"/>
        </w:rPr>
        <w:t xml:space="preserve">   </w:t>
      </w:r>
      <w:r w:rsidR="0039530B" w:rsidRPr="003B7885">
        <w:rPr>
          <w:rFonts w:ascii="Times New Roman" w:hAnsi="Times New Roman"/>
          <w:sz w:val="26"/>
          <w:szCs w:val="26"/>
        </w:rPr>
        <w:t xml:space="preserve">приложение № 2 к отчету на </w:t>
      </w:r>
      <w:r w:rsidR="00580DEB">
        <w:rPr>
          <w:rFonts w:ascii="Times New Roman" w:hAnsi="Times New Roman"/>
          <w:sz w:val="26"/>
          <w:szCs w:val="26"/>
        </w:rPr>
        <w:t>7</w:t>
      </w:r>
      <w:r w:rsidRPr="003B7885">
        <w:rPr>
          <w:rFonts w:ascii="Times New Roman" w:hAnsi="Times New Roman"/>
          <w:sz w:val="26"/>
          <w:szCs w:val="26"/>
        </w:rPr>
        <w:t xml:space="preserve"> </w:t>
      </w:r>
      <w:r w:rsidR="00286DE1" w:rsidRPr="003B7885">
        <w:rPr>
          <w:rFonts w:ascii="Times New Roman" w:hAnsi="Times New Roman"/>
          <w:sz w:val="26"/>
          <w:szCs w:val="26"/>
        </w:rPr>
        <w:t>стр</w:t>
      </w:r>
      <w:r w:rsidR="0039530B" w:rsidRPr="003B7885">
        <w:rPr>
          <w:rFonts w:ascii="Times New Roman" w:hAnsi="Times New Roman"/>
          <w:sz w:val="26"/>
          <w:szCs w:val="26"/>
        </w:rPr>
        <w:t>. в 1 экз.;</w:t>
      </w:r>
    </w:p>
    <w:p w:rsidR="0039530B" w:rsidRPr="003B7885" w:rsidRDefault="007C02C1" w:rsidP="006244EB">
      <w:pPr>
        <w:spacing w:after="0" w:line="240" w:lineRule="auto"/>
        <w:ind w:left="2124"/>
        <w:jc w:val="both"/>
        <w:rPr>
          <w:rFonts w:ascii="Times New Roman" w:hAnsi="Times New Roman"/>
          <w:sz w:val="26"/>
          <w:szCs w:val="26"/>
        </w:rPr>
      </w:pPr>
      <w:r w:rsidRPr="003B7885">
        <w:rPr>
          <w:rFonts w:ascii="Times New Roman" w:hAnsi="Times New Roman"/>
          <w:sz w:val="26"/>
          <w:szCs w:val="26"/>
        </w:rPr>
        <w:t xml:space="preserve">   </w:t>
      </w:r>
      <w:r w:rsidR="0039530B" w:rsidRPr="003B7885">
        <w:rPr>
          <w:rFonts w:ascii="Times New Roman" w:hAnsi="Times New Roman"/>
          <w:sz w:val="26"/>
          <w:szCs w:val="26"/>
        </w:rPr>
        <w:t xml:space="preserve">приложение № 3 к отчету на </w:t>
      </w:r>
      <w:r w:rsidR="00580DEB">
        <w:rPr>
          <w:rFonts w:ascii="Times New Roman" w:hAnsi="Times New Roman"/>
          <w:sz w:val="26"/>
          <w:szCs w:val="26"/>
        </w:rPr>
        <w:t>2</w:t>
      </w:r>
      <w:r w:rsidRPr="003B7885">
        <w:rPr>
          <w:rFonts w:ascii="Times New Roman" w:hAnsi="Times New Roman"/>
          <w:sz w:val="26"/>
          <w:szCs w:val="26"/>
        </w:rPr>
        <w:t xml:space="preserve"> </w:t>
      </w:r>
      <w:r w:rsidR="00286DE1" w:rsidRPr="003B7885">
        <w:rPr>
          <w:rFonts w:ascii="Times New Roman" w:hAnsi="Times New Roman"/>
          <w:sz w:val="26"/>
          <w:szCs w:val="26"/>
        </w:rPr>
        <w:t>стр</w:t>
      </w:r>
      <w:r w:rsidR="0039530B" w:rsidRPr="003B7885">
        <w:rPr>
          <w:rFonts w:ascii="Times New Roman" w:hAnsi="Times New Roman"/>
          <w:sz w:val="26"/>
          <w:szCs w:val="26"/>
        </w:rPr>
        <w:t>. в 1 экз.;</w:t>
      </w:r>
    </w:p>
    <w:p w:rsidR="0039530B" w:rsidRPr="003B7885" w:rsidRDefault="007C02C1" w:rsidP="006244EB">
      <w:pPr>
        <w:spacing w:after="0" w:line="240" w:lineRule="auto"/>
        <w:ind w:left="1416" w:firstLine="708"/>
        <w:jc w:val="both"/>
        <w:rPr>
          <w:rFonts w:ascii="Times New Roman" w:hAnsi="Times New Roman"/>
          <w:sz w:val="26"/>
          <w:szCs w:val="26"/>
        </w:rPr>
      </w:pPr>
      <w:r w:rsidRPr="003B7885">
        <w:rPr>
          <w:rFonts w:ascii="Times New Roman" w:hAnsi="Times New Roman"/>
          <w:sz w:val="26"/>
          <w:szCs w:val="26"/>
        </w:rPr>
        <w:t xml:space="preserve">   </w:t>
      </w:r>
      <w:r w:rsidR="0039530B" w:rsidRPr="003B7885">
        <w:rPr>
          <w:rFonts w:ascii="Times New Roman" w:hAnsi="Times New Roman"/>
          <w:sz w:val="26"/>
          <w:szCs w:val="26"/>
        </w:rPr>
        <w:t xml:space="preserve">приложение № 4 к отчету на </w:t>
      </w:r>
      <w:r w:rsidR="00CA1F7A" w:rsidRPr="003B7885">
        <w:rPr>
          <w:rFonts w:ascii="Times New Roman" w:hAnsi="Times New Roman"/>
          <w:sz w:val="26"/>
          <w:szCs w:val="26"/>
        </w:rPr>
        <w:t>2</w:t>
      </w:r>
      <w:r w:rsidR="004A4307">
        <w:rPr>
          <w:rFonts w:ascii="Times New Roman" w:hAnsi="Times New Roman"/>
          <w:sz w:val="26"/>
          <w:szCs w:val="26"/>
        </w:rPr>
        <w:t>6</w:t>
      </w:r>
      <w:r w:rsidRPr="003B7885">
        <w:rPr>
          <w:rFonts w:ascii="Times New Roman" w:hAnsi="Times New Roman"/>
          <w:sz w:val="26"/>
          <w:szCs w:val="26"/>
        </w:rPr>
        <w:t xml:space="preserve"> </w:t>
      </w:r>
      <w:r w:rsidR="00286DE1" w:rsidRPr="003B7885">
        <w:rPr>
          <w:rFonts w:ascii="Times New Roman" w:hAnsi="Times New Roman"/>
          <w:sz w:val="26"/>
          <w:szCs w:val="26"/>
        </w:rPr>
        <w:t>стр</w:t>
      </w:r>
      <w:r w:rsidR="0039530B" w:rsidRPr="003B7885">
        <w:rPr>
          <w:rFonts w:ascii="Times New Roman" w:hAnsi="Times New Roman"/>
          <w:sz w:val="26"/>
          <w:szCs w:val="26"/>
        </w:rPr>
        <w:t>. в 1 экз.;</w:t>
      </w:r>
    </w:p>
    <w:p w:rsidR="0039530B" w:rsidRPr="003B7885" w:rsidRDefault="007C02C1" w:rsidP="006244EB">
      <w:pPr>
        <w:spacing w:after="0" w:line="240" w:lineRule="auto"/>
        <w:ind w:left="1416" w:firstLine="708"/>
        <w:jc w:val="both"/>
        <w:rPr>
          <w:rFonts w:ascii="Times New Roman" w:hAnsi="Times New Roman"/>
          <w:sz w:val="26"/>
          <w:szCs w:val="26"/>
        </w:rPr>
      </w:pPr>
      <w:r w:rsidRPr="003B7885">
        <w:rPr>
          <w:rFonts w:ascii="Times New Roman" w:hAnsi="Times New Roman"/>
          <w:sz w:val="26"/>
          <w:szCs w:val="26"/>
        </w:rPr>
        <w:t xml:space="preserve">   </w:t>
      </w:r>
      <w:r w:rsidR="0039530B" w:rsidRPr="003B7885">
        <w:rPr>
          <w:rFonts w:ascii="Times New Roman" w:hAnsi="Times New Roman"/>
          <w:sz w:val="26"/>
          <w:szCs w:val="26"/>
        </w:rPr>
        <w:t xml:space="preserve">приложение № 5 к отчету на </w:t>
      </w:r>
      <w:r w:rsidR="00580DEB">
        <w:rPr>
          <w:rFonts w:ascii="Times New Roman" w:hAnsi="Times New Roman"/>
          <w:sz w:val="26"/>
          <w:szCs w:val="26"/>
        </w:rPr>
        <w:t>8</w:t>
      </w:r>
      <w:r w:rsidRPr="003B7885">
        <w:rPr>
          <w:rFonts w:ascii="Times New Roman" w:hAnsi="Times New Roman"/>
          <w:sz w:val="26"/>
          <w:szCs w:val="26"/>
        </w:rPr>
        <w:t xml:space="preserve"> </w:t>
      </w:r>
      <w:r w:rsidR="00286DE1" w:rsidRPr="003B7885">
        <w:rPr>
          <w:rFonts w:ascii="Times New Roman" w:hAnsi="Times New Roman"/>
          <w:sz w:val="26"/>
          <w:szCs w:val="26"/>
        </w:rPr>
        <w:t>стр</w:t>
      </w:r>
      <w:r w:rsidR="006D5F1A" w:rsidRPr="003B7885">
        <w:rPr>
          <w:rFonts w:ascii="Times New Roman" w:hAnsi="Times New Roman"/>
          <w:sz w:val="26"/>
          <w:szCs w:val="26"/>
        </w:rPr>
        <w:t>. в 1 экз</w:t>
      </w:r>
      <w:r w:rsidR="003B7885">
        <w:rPr>
          <w:rFonts w:ascii="Times New Roman" w:hAnsi="Times New Roman"/>
          <w:sz w:val="26"/>
          <w:szCs w:val="26"/>
        </w:rPr>
        <w:t>.</w:t>
      </w:r>
    </w:p>
    <w:p w:rsidR="0039530B" w:rsidRDefault="00B17870" w:rsidP="006244EB">
      <w:pPr>
        <w:spacing w:after="0" w:line="240" w:lineRule="auto"/>
        <w:ind w:firstLine="708"/>
        <w:jc w:val="both"/>
        <w:rPr>
          <w:rFonts w:ascii="Times New Roman" w:hAnsi="Times New Roman"/>
          <w:sz w:val="26"/>
          <w:szCs w:val="26"/>
        </w:rPr>
      </w:pPr>
      <w:r w:rsidRPr="003B7885">
        <w:rPr>
          <w:rFonts w:ascii="Times New Roman" w:hAnsi="Times New Roman"/>
          <w:sz w:val="26"/>
          <w:szCs w:val="26"/>
        </w:rPr>
        <w:tab/>
      </w:r>
      <w:r w:rsidRPr="003B7885">
        <w:rPr>
          <w:rFonts w:ascii="Times New Roman" w:hAnsi="Times New Roman"/>
          <w:sz w:val="26"/>
          <w:szCs w:val="26"/>
        </w:rPr>
        <w:tab/>
      </w:r>
    </w:p>
    <w:p w:rsidR="00580DEB" w:rsidRPr="006244EB" w:rsidRDefault="00580DEB" w:rsidP="006244EB">
      <w:pPr>
        <w:spacing w:after="0" w:line="240" w:lineRule="auto"/>
        <w:ind w:firstLine="708"/>
        <w:jc w:val="both"/>
        <w:rPr>
          <w:rFonts w:ascii="Times New Roman" w:hAnsi="Times New Roman"/>
          <w:sz w:val="26"/>
          <w:szCs w:val="26"/>
        </w:rPr>
      </w:pPr>
    </w:p>
    <w:p w:rsidR="0039530B" w:rsidRPr="006244EB" w:rsidRDefault="0039530B" w:rsidP="006244EB">
      <w:pPr>
        <w:spacing w:after="0" w:line="240" w:lineRule="auto"/>
        <w:ind w:firstLine="708"/>
        <w:jc w:val="both"/>
        <w:rPr>
          <w:rFonts w:ascii="Times New Roman" w:hAnsi="Times New Roman"/>
          <w:sz w:val="26"/>
          <w:szCs w:val="26"/>
        </w:rPr>
      </w:pPr>
    </w:p>
    <w:p w:rsidR="0039628F" w:rsidRPr="006244EB" w:rsidRDefault="0039628F" w:rsidP="006244EB">
      <w:pPr>
        <w:spacing w:after="0" w:line="240" w:lineRule="auto"/>
        <w:ind w:firstLine="708"/>
        <w:jc w:val="both"/>
        <w:rPr>
          <w:rFonts w:ascii="Times New Roman" w:hAnsi="Times New Roman"/>
          <w:sz w:val="26"/>
          <w:szCs w:val="26"/>
        </w:rPr>
      </w:pPr>
    </w:p>
    <w:p w:rsidR="0039628F" w:rsidRPr="006244EB" w:rsidRDefault="0039628F" w:rsidP="006244EB">
      <w:pPr>
        <w:spacing w:after="0" w:line="240" w:lineRule="auto"/>
        <w:ind w:firstLine="708"/>
        <w:jc w:val="both"/>
        <w:rPr>
          <w:rFonts w:ascii="Times New Roman" w:hAnsi="Times New Roman"/>
          <w:sz w:val="26"/>
          <w:szCs w:val="26"/>
        </w:rPr>
      </w:pPr>
    </w:p>
    <w:p w:rsidR="00C21E63" w:rsidRPr="006244EB" w:rsidRDefault="00C21E63" w:rsidP="006244EB">
      <w:pPr>
        <w:spacing w:after="0" w:line="240" w:lineRule="auto"/>
        <w:ind w:firstLine="708"/>
        <w:jc w:val="both"/>
        <w:rPr>
          <w:rFonts w:ascii="Times New Roman" w:hAnsi="Times New Roman"/>
          <w:sz w:val="26"/>
          <w:szCs w:val="26"/>
        </w:rPr>
      </w:pPr>
      <w:bookmarkStart w:id="6" w:name="_GoBack"/>
      <w:bookmarkEnd w:id="6"/>
    </w:p>
    <w:sectPr w:rsidR="00C21E63" w:rsidRPr="006244EB" w:rsidSect="000F4967">
      <w:headerReference w:type="default" r:id="rId1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9A3" w:rsidRDefault="009119A3" w:rsidP="00E71EAE">
      <w:pPr>
        <w:spacing w:after="0" w:line="240" w:lineRule="auto"/>
      </w:pPr>
      <w:r>
        <w:separator/>
      </w:r>
    </w:p>
  </w:endnote>
  <w:endnote w:type="continuationSeparator" w:id="0">
    <w:p w:rsidR="009119A3" w:rsidRDefault="009119A3" w:rsidP="00E7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9A3" w:rsidRDefault="009119A3" w:rsidP="00E71EAE">
      <w:pPr>
        <w:spacing w:after="0" w:line="240" w:lineRule="auto"/>
      </w:pPr>
      <w:r>
        <w:separator/>
      </w:r>
    </w:p>
  </w:footnote>
  <w:footnote w:type="continuationSeparator" w:id="0">
    <w:p w:rsidR="009119A3" w:rsidRDefault="009119A3" w:rsidP="00E71EAE">
      <w:pPr>
        <w:spacing w:after="0" w:line="240" w:lineRule="auto"/>
      </w:pPr>
      <w:r>
        <w:continuationSeparator/>
      </w:r>
    </w:p>
  </w:footnote>
  <w:footnote w:id="1">
    <w:p w:rsidR="00AA65FF" w:rsidRDefault="00AA65FF" w:rsidP="00FE4469">
      <w:pPr>
        <w:pStyle w:val="af2"/>
      </w:pPr>
      <w:r w:rsidRPr="0036754F">
        <w:rPr>
          <w:rStyle w:val="af4"/>
        </w:rPr>
        <w:footnoteRef/>
      </w:r>
      <w:r w:rsidRPr="0036754F">
        <w:t xml:space="preserve"> В соответствии с постановлением Мурманской областной Думы от 28 ноября 2018 года № 1549</w:t>
      </w:r>
    </w:p>
  </w:footnote>
  <w:footnote w:id="2">
    <w:p w:rsidR="00AA65FF" w:rsidRPr="002B2250" w:rsidRDefault="00AA65FF" w:rsidP="009E0A37">
      <w:pPr>
        <w:pStyle w:val="af6"/>
        <w:ind w:firstLine="0"/>
        <w:rPr>
          <w:sz w:val="20"/>
        </w:rPr>
      </w:pPr>
      <w:r w:rsidRPr="002B2250">
        <w:rPr>
          <w:sz w:val="20"/>
          <w:vertAlign w:val="superscript"/>
        </w:rPr>
        <w:footnoteRef/>
      </w:r>
      <w:r w:rsidRPr="002B2250">
        <w:rPr>
          <w:sz w:val="20"/>
        </w:rPr>
        <w:t xml:space="preserve"> ГАПОУ МО «Мурманский технологический колледж сервиса»</w:t>
      </w:r>
      <w:r>
        <w:rPr>
          <w:sz w:val="20"/>
        </w:rPr>
        <w:t xml:space="preserve">, </w:t>
      </w:r>
      <w:r w:rsidRPr="002B2250">
        <w:rPr>
          <w:sz w:val="20"/>
        </w:rPr>
        <w:t>Г</w:t>
      </w:r>
      <w:r>
        <w:rPr>
          <w:sz w:val="20"/>
        </w:rPr>
        <w:t xml:space="preserve">АПОУ МО </w:t>
      </w:r>
      <w:r w:rsidRPr="002B2250">
        <w:rPr>
          <w:sz w:val="20"/>
        </w:rPr>
        <w:t>«</w:t>
      </w:r>
      <w:r w:rsidRPr="002B2250">
        <w:rPr>
          <w:sz w:val="20"/>
        </w:rPr>
        <w:t>Оленегорский горнопромышленный колледж»</w:t>
      </w:r>
      <w:r>
        <w:rPr>
          <w:sz w:val="20"/>
        </w:rPr>
        <w:t xml:space="preserve">, </w:t>
      </w:r>
      <w:r w:rsidRPr="002B2250">
        <w:rPr>
          <w:sz w:val="20"/>
        </w:rPr>
        <w:t>ГАПОУ МО «Мончегорский политехнический колледж»</w:t>
      </w:r>
      <w:r>
        <w:rPr>
          <w:sz w:val="20"/>
        </w:rPr>
        <w:t>.</w:t>
      </w:r>
    </w:p>
  </w:footnote>
  <w:footnote w:id="3">
    <w:p w:rsidR="00AA65FF" w:rsidRDefault="00AA65FF" w:rsidP="009E0A37">
      <w:pPr>
        <w:pStyle w:val="af2"/>
      </w:pPr>
      <w:r>
        <w:rPr>
          <w:rStyle w:val="af4"/>
        </w:rPr>
        <w:footnoteRef/>
      </w:r>
      <w:r>
        <w:t xml:space="preserve"> </w:t>
      </w:r>
      <w:r w:rsidRPr="00EA1510">
        <w:rPr>
          <w:lang w:eastAsia="x-none"/>
        </w:rPr>
        <w:t>утверждены постановлением Главного государственного врача Российской Федерации от 23.07.2008 № 45</w:t>
      </w:r>
      <w:r>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5FF" w:rsidRDefault="00AA65FF">
    <w:pPr>
      <w:pStyle w:val="a3"/>
      <w:jc w:val="center"/>
    </w:pPr>
    <w:r>
      <w:fldChar w:fldCharType="begin"/>
    </w:r>
    <w:r>
      <w:instrText xml:space="preserve"> PAGE   \* MERGEFORMAT </w:instrText>
    </w:r>
    <w:r>
      <w:fldChar w:fldCharType="separate"/>
    </w:r>
    <w:r>
      <w:rPr>
        <w:noProof/>
      </w:rPr>
      <w:t>38</w:t>
    </w:r>
    <w:r>
      <w:rPr>
        <w:noProof/>
      </w:rPr>
      <w:fldChar w:fldCharType="end"/>
    </w:r>
  </w:p>
  <w:p w:rsidR="00AA65FF" w:rsidRDefault="00AA65F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64EA"/>
    <w:multiLevelType w:val="hybridMultilevel"/>
    <w:tmpl w:val="B788869A"/>
    <w:lvl w:ilvl="0" w:tplc="484036C0">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A45AC"/>
    <w:multiLevelType w:val="multilevel"/>
    <w:tmpl w:val="3BE42110"/>
    <w:lvl w:ilvl="0">
      <w:start w:val="2"/>
      <w:numFmt w:val="decimal"/>
      <w:lvlText w:val="%1."/>
      <w:lvlJc w:val="left"/>
      <w:pPr>
        <w:ind w:left="450" w:hanging="450"/>
      </w:pPr>
      <w:rPr>
        <w:rFonts w:cs="Times New Roman"/>
      </w:rPr>
    </w:lvl>
    <w:lvl w:ilvl="1">
      <w:start w:val="1"/>
      <w:numFmt w:val="decimal"/>
      <w:lvlText w:val="%1.%2."/>
      <w:lvlJc w:val="left"/>
      <w:pPr>
        <w:ind w:left="1080" w:hanging="72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960" w:hanging="180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5040" w:hanging="2160"/>
      </w:pPr>
      <w:rPr>
        <w:rFonts w:cs="Times New Roman"/>
      </w:rPr>
    </w:lvl>
  </w:abstractNum>
  <w:abstractNum w:abstractNumId="2" w15:restartNumberingAfterBreak="0">
    <w:nsid w:val="0A1E4081"/>
    <w:multiLevelType w:val="hybridMultilevel"/>
    <w:tmpl w:val="80B2CD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CDE620D"/>
    <w:multiLevelType w:val="hybridMultilevel"/>
    <w:tmpl w:val="1FD6E05A"/>
    <w:lvl w:ilvl="0" w:tplc="3F7AB73C">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8A75B9"/>
    <w:multiLevelType w:val="hybridMultilevel"/>
    <w:tmpl w:val="142AE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FD5C87"/>
    <w:multiLevelType w:val="hybridMultilevel"/>
    <w:tmpl w:val="0FFCA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E40AD"/>
    <w:multiLevelType w:val="hybridMultilevel"/>
    <w:tmpl w:val="C756B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5D1495"/>
    <w:multiLevelType w:val="hybridMultilevel"/>
    <w:tmpl w:val="E5A8F9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AB4BDC"/>
    <w:multiLevelType w:val="hybridMultilevel"/>
    <w:tmpl w:val="4BA08E98"/>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128" w:hanging="360"/>
      </w:pPr>
      <w:rPr>
        <w:rFonts w:ascii="Courier New" w:hAnsi="Courier New" w:hint="default"/>
      </w:rPr>
    </w:lvl>
    <w:lvl w:ilvl="2" w:tplc="04190005" w:tentative="1">
      <w:start w:val="1"/>
      <w:numFmt w:val="bullet"/>
      <w:lvlText w:val=""/>
      <w:lvlJc w:val="left"/>
      <w:pPr>
        <w:ind w:left="2848" w:hanging="360"/>
      </w:pPr>
      <w:rPr>
        <w:rFonts w:ascii="Wingdings" w:hAnsi="Wingdings" w:hint="default"/>
      </w:rPr>
    </w:lvl>
    <w:lvl w:ilvl="3" w:tplc="04190001" w:tentative="1">
      <w:start w:val="1"/>
      <w:numFmt w:val="bullet"/>
      <w:lvlText w:val=""/>
      <w:lvlJc w:val="left"/>
      <w:pPr>
        <w:ind w:left="3568" w:hanging="360"/>
      </w:pPr>
      <w:rPr>
        <w:rFonts w:ascii="Symbol" w:hAnsi="Symbol" w:hint="default"/>
      </w:rPr>
    </w:lvl>
    <w:lvl w:ilvl="4" w:tplc="04190003" w:tentative="1">
      <w:start w:val="1"/>
      <w:numFmt w:val="bullet"/>
      <w:lvlText w:val="o"/>
      <w:lvlJc w:val="left"/>
      <w:pPr>
        <w:ind w:left="4288" w:hanging="360"/>
      </w:pPr>
      <w:rPr>
        <w:rFonts w:ascii="Courier New" w:hAnsi="Courier New" w:hint="default"/>
      </w:rPr>
    </w:lvl>
    <w:lvl w:ilvl="5" w:tplc="04190005" w:tentative="1">
      <w:start w:val="1"/>
      <w:numFmt w:val="bullet"/>
      <w:lvlText w:val=""/>
      <w:lvlJc w:val="left"/>
      <w:pPr>
        <w:ind w:left="5008" w:hanging="360"/>
      </w:pPr>
      <w:rPr>
        <w:rFonts w:ascii="Wingdings" w:hAnsi="Wingdings" w:hint="default"/>
      </w:rPr>
    </w:lvl>
    <w:lvl w:ilvl="6" w:tplc="04190001" w:tentative="1">
      <w:start w:val="1"/>
      <w:numFmt w:val="bullet"/>
      <w:lvlText w:val=""/>
      <w:lvlJc w:val="left"/>
      <w:pPr>
        <w:ind w:left="5728" w:hanging="360"/>
      </w:pPr>
      <w:rPr>
        <w:rFonts w:ascii="Symbol" w:hAnsi="Symbol" w:hint="default"/>
      </w:rPr>
    </w:lvl>
    <w:lvl w:ilvl="7" w:tplc="04190003" w:tentative="1">
      <w:start w:val="1"/>
      <w:numFmt w:val="bullet"/>
      <w:lvlText w:val="o"/>
      <w:lvlJc w:val="left"/>
      <w:pPr>
        <w:ind w:left="6448" w:hanging="360"/>
      </w:pPr>
      <w:rPr>
        <w:rFonts w:ascii="Courier New" w:hAnsi="Courier New" w:hint="default"/>
      </w:rPr>
    </w:lvl>
    <w:lvl w:ilvl="8" w:tplc="04190005" w:tentative="1">
      <w:start w:val="1"/>
      <w:numFmt w:val="bullet"/>
      <w:lvlText w:val=""/>
      <w:lvlJc w:val="left"/>
      <w:pPr>
        <w:ind w:left="7168" w:hanging="360"/>
      </w:pPr>
      <w:rPr>
        <w:rFonts w:ascii="Wingdings" w:hAnsi="Wingdings" w:hint="default"/>
      </w:rPr>
    </w:lvl>
  </w:abstractNum>
  <w:abstractNum w:abstractNumId="9" w15:restartNumberingAfterBreak="0">
    <w:nsid w:val="24C676EA"/>
    <w:multiLevelType w:val="hybridMultilevel"/>
    <w:tmpl w:val="4D3C8D58"/>
    <w:lvl w:ilvl="0" w:tplc="04190003">
      <w:start w:val="1"/>
      <w:numFmt w:val="bullet"/>
      <w:lvlText w:val="o"/>
      <w:lvlJc w:val="left"/>
      <w:pPr>
        <w:ind w:left="856" w:hanging="360"/>
      </w:pPr>
      <w:rPr>
        <w:rFonts w:ascii="Courier New" w:hAnsi="Courier New"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10" w15:restartNumberingAfterBreak="0">
    <w:nsid w:val="287B39C7"/>
    <w:multiLevelType w:val="hybridMultilevel"/>
    <w:tmpl w:val="BBBA3EC8"/>
    <w:lvl w:ilvl="0" w:tplc="0B5AF1FA">
      <w:start w:val="1"/>
      <w:numFmt w:val="bullet"/>
      <w:lvlText w:val=""/>
      <w:lvlJc w:val="left"/>
      <w:pPr>
        <w:ind w:left="1429" w:hanging="360"/>
      </w:pPr>
      <w:rPr>
        <w:rFonts w:ascii="Symbol" w:hAnsi="Symbol" w:hint="default"/>
        <w:sz w:val="16"/>
        <w:szCs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823F99"/>
    <w:multiLevelType w:val="hybridMultilevel"/>
    <w:tmpl w:val="D19AA774"/>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12" w15:restartNumberingAfterBreak="0">
    <w:nsid w:val="2D803F21"/>
    <w:multiLevelType w:val="hybridMultilevel"/>
    <w:tmpl w:val="45CADE6A"/>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13" w15:restartNumberingAfterBreak="0">
    <w:nsid w:val="37EC1542"/>
    <w:multiLevelType w:val="hybridMultilevel"/>
    <w:tmpl w:val="06066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877EC7"/>
    <w:multiLevelType w:val="hybridMultilevel"/>
    <w:tmpl w:val="BD423134"/>
    <w:lvl w:ilvl="0" w:tplc="3168EF7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B3A5BE8"/>
    <w:multiLevelType w:val="multilevel"/>
    <w:tmpl w:val="56F46B04"/>
    <w:lvl w:ilvl="0">
      <w:start w:val="1"/>
      <w:numFmt w:val="decimal"/>
      <w:lvlText w:val="%1."/>
      <w:lvlJc w:val="left"/>
      <w:pPr>
        <w:ind w:left="450" w:hanging="450"/>
      </w:pPr>
      <w:rPr>
        <w:rFonts w:hint="default"/>
      </w:rPr>
    </w:lvl>
    <w:lvl w:ilvl="1">
      <w:start w:val="9"/>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15:restartNumberingAfterBreak="0">
    <w:nsid w:val="3EF74E08"/>
    <w:multiLevelType w:val="hybridMultilevel"/>
    <w:tmpl w:val="708893C6"/>
    <w:lvl w:ilvl="0" w:tplc="69962C62">
      <w:start w:val="1"/>
      <w:numFmt w:val="bullet"/>
      <w:lvlText w:val=""/>
      <w:lvlJc w:val="left"/>
      <w:pPr>
        <w:tabs>
          <w:tab w:val="num" w:pos="1353"/>
        </w:tabs>
        <w:ind w:left="-75" w:firstLine="1068"/>
      </w:pPr>
      <w:rPr>
        <w:rFonts w:ascii="Symbol" w:hAnsi="Symbol"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hint="default"/>
      </w:rPr>
    </w:lvl>
    <w:lvl w:ilvl="3" w:tplc="04190001">
      <w:start w:val="1"/>
      <w:numFmt w:val="bullet"/>
      <w:lvlText w:val=""/>
      <w:lvlJc w:val="left"/>
      <w:pPr>
        <w:tabs>
          <w:tab w:val="num" w:pos="4014"/>
        </w:tabs>
        <w:ind w:left="4014" w:hanging="360"/>
      </w:pPr>
      <w:rPr>
        <w:rFonts w:ascii="Symbol" w:hAnsi="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hint="default"/>
      </w:rPr>
    </w:lvl>
    <w:lvl w:ilvl="6" w:tplc="04190001">
      <w:start w:val="1"/>
      <w:numFmt w:val="bullet"/>
      <w:lvlText w:val=""/>
      <w:lvlJc w:val="left"/>
      <w:pPr>
        <w:tabs>
          <w:tab w:val="num" w:pos="6174"/>
        </w:tabs>
        <w:ind w:left="6174" w:hanging="360"/>
      </w:pPr>
      <w:rPr>
        <w:rFonts w:ascii="Symbol" w:hAnsi="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42504248"/>
    <w:multiLevelType w:val="hybridMultilevel"/>
    <w:tmpl w:val="9BA82B9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4A031A3C"/>
    <w:multiLevelType w:val="hybridMultilevel"/>
    <w:tmpl w:val="4B0EC4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4E567BA2"/>
    <w:multiLevelType w:val="hybridMultilevel"/>
    <w:tmpl w:val="2B6675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EE868E5"/>
    <w:multiLevelType w:val="hybridMultilevel"/>
    <w:tmpl w:val="707CB89C"/>
    <w:lvl w:ilvl="0" w:tplc="2ED4D3AE">
      <w:numFmt w:val="bullet"/>
      <w:lvlText w:val="•"/>
      <w:lvlJc w:val="left"/>
      <w:pPr>
        <w:ind w:left="1065" w:hanging="7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A819C6"/>
    <w:multiLevelType w:val="hybridMultilevel"/>
    <w:tmpl w:val="FBD4B5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55086A2D"/>
    <w:multiLevelType w:val="hybridMultilevel"/>
    <w:tmpl w:val="72606AC2"/>
    <w:lvl w:ilvl="0" w:tplc="04190001">
      <w:start w:val="1"/>
      <w:numFmt w:val="bullet"/>
      <w:lvlText w:val=""/>
      <w:lvlJc w:val="left"/>
      <w:pPr>
        <w:ind w:left="720" w:hanging="360"/>
      </w:pPr>
      <w:rPr>
        <w:rFonts w:ascii="Symbol" w:hAnsi="Symbol" w:hint="default"/>
      </w:rPr>
    </w:lvl>
    <w:lvl w:ilvl="1" w:tplc="256E3232">
      <w:start w:val="8"/>
      <w:numFmt w:val="bullet"/>
      <w:lvlText w:val="•"/>
      <w:lvlJc w:val="left"/>
      <w:pPr>
        <w:ind w:left="2490" w:hanging="141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787016"/>
    <w:multiLevelType w:val="hybridMultilevel"/>
    <w:tmpl w:val="828A822E"/>
    <w:lvl w:ilvl="0" w:tplc="04190003">
      <w:start w:val="1"/>
      <w:numFmt w:val="bullet"/>
      <w:lvlText w:val="o"/>
      <w:lvlJc w:val="left"/>
      <w:pPr>
        <w:ind w:left="856" w:hanging="360"/>
      </w:pPr>
      <w:rPr>
        <w:rFonts w:ascii="Courier New" w:hAnsi="Courier New"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24" w15:restartNumberingAfterBreak="0">
    <w:nsid w:val="59C63717"/>
    <w:multiLevelType w:val="hybridMultilevel"/>
    <w:tmpl w:val="39A4A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C13405"/>
    <w:multiLevelType w:val="multilevel"/>
    <w:tmpl w:val="2C7CF886"/>
    <w:lvl w:ilvl="0">
      <w:start w:val="1"/>
      <w:numFmt w:val="decimal"/>
      <w:lvlText w:val="%1."/>
      <w:lvlJc w:val="left"/>
      <w:pPr>
        <w:ind w:left="420" w:hanging="420"/>
      </w:pPr>
      <w:rPr>
        <w:rFonts w:cs="Times New Roman"/>
        <w:b/>
      </w:rPr>
    </w:lvl>
    <w:lvl w:ilvl="1">
      <w:start w:val="3"/>
      <w:numFmt w:val="decimal"/>
      <w:lvlText w:val="%1.%2."/>
      <w:lvlJc w:val="left"/>
      <w:pPr>
        <w:ind w:left="1571" w:hanging="720"/>
      </w:pPr>
      <w:rPr>
        <w:rFonts w:ascii="Times New Roman" w:hAnsi="Times New Roman" w:cs="Times New Roman" w:hint="default"/>
        <w:b/>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b w:val="0"/>
      </w:rPr>
    </w:lvl>
    <w:lvl w:ilvl="4">
      <w:start w:val="1"/>
      <w:numFmt w:val="decimal"/>
      <w:lvlText w:val="%1.%2.%3.%4.%5."/>
      <w:lvlJc w:val="left"/>
      <w:pPr>
        <w:ind w:left="1080" w:hanging="1080"/>
      </w:pPr>
      <w:rPr>
        <w:rFonts w:cs="Times New Roman"/>
        <w:b w:val="0"/>
      </w:rPr>
    </w:lvl>
    <w:lvl w:ilvl="5">
      <w:start w:val="1"/>
      <w:numFmt w:val="decimal"/>
      <w:lvlText w:val="%1.%2.%3.%4.%5.%6."/>
      <w:lvlJc w:val="left"/>
      <w:pPr>
        <w:ind w:left="1440" w:hanging="1440"/>
      </w:pPr>
      <w:rPr>
        <w:rFonts w:cs="Times New Roman"/>
        <w:b w:val="0"/>
      </w:rPr>
    </w:lvl>
    <w:lvl w:ilvl="6">
      <w:start w:val="1"/>
      <w:numFmt w:val="decimal"/>
      <w:lvlText w:val="%1.%2.%3.%4.%5.%6.%7."/>
      <w:lvlJc w:val="left"/>
      <w:pPr>
        <w:ind w:left="1440" w:hanging="1440"/>
      </w:pPr>
      <w:rPr>
        <w:rFonts w:cs="Times New Roman"/>
        <w:b w:val="0"/>
      </w:rPr>
    </w:lvl>
    <w:lvl w:ilvl="7">
      <w:start w:val="1"/>
      <w:numFmt w:val="decimal"/>
      <w:lvlText w:val="%1.%2.%3.%4.%5.%6.%7.%8."/>
      <w:lvlJc w:val="left"/>
      <w:pPr>
        <w:ind w:left="1800" w:hanging="1800"/>
      </w:pPr>
      <w:rPr>
        <w:rFonts w:cs="Times New Roman"/>
        <w:b w:val="0"/>
      </w:rPr>
    </w:lvl>
    <w:lvl w:ilvl="8">
      <w:start w:val="1"/>
      <w:numFmt w:val="decimal"/>
      <w:lvlText w:val="%1.%2.%3.%4.%5.%6.%7.%8.%9."/>
      <w:lvlJc w:val="left"/>
      <w:pPr>
        <w:ind w:left="2160" w:hanging="2160"/>
      </w:pPr>
      <w:rPr>
        <w:rFonts w:cs="Times New Roman"/>
        <w:b w:val="0"/>
      </w:rPr>
    </w:lvl>
  </w:abstractNum>
  <w:abstractNum w:abstractNumId="26" w15:restartNumberingAfterBreak="0">
    <w:nsid w:val="62454066"/>
    <w:multiLevelType w:val="hybridMultilevel"/>
    <w:tmpl w:val="B06A75BA"/>
    <w:lvl w:ilvl="0" w:tplc="36E69CB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6A9B0710"/>
    <w:multiLevelType w:val="hybridMultilevel"/>
    <w:tmpl w:val="BA969B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CAA0221"/>
    <w:multiLevelType w:val="hybridMultilevel"/>
    <w:tmpl w:val="C3D2010E"/>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6D7D246F"/>
    <w:multiLevelType w:val="hybridMultilevel"/>
    <w:tmpl w:val="DAD25D60"/>
    <w:lvl w:ilvl="0" w:tplc="04190001">
      <w:start w:val="1"/>
      <w:numFmt w:val="bullet"/>
      <w:lvlText w:val=""/>
      <w:lvlJc w:val="left"/>
      <w:pPr>
        <w:ind w:left="1158" w:hanging="360"/>
      </w:pPr>
      <w:rPr>
        <w:rFonts w:ascii="Symbol" w:hAnsi="Symbol" w:hint="default"/>
      </w:rPr>
    </w:lvl>
    <w:lvl w:ilvl="1" w:tplc="04190003" w:tentative="1">
      <w:start w:val="1"/>
      <w:numFmt w:val="bullet"/>
      <w:lvlText w:val="o"/>
      <w:lvlJc w:val="left"/>
      <w:pPr>
        <w:ind w:left="1878" w:hanging="360"/>
      </w:pPr>
      <w:rPr>
        <w:rFonts w:ascii="Courier New" w:hAnsi="Courier New" w:hint="default"/>
      </w:rPr>
    </w:lvl>
    <w:lvl w:ilvl="2" w:tplc="04190005" w:tentative="1">
      <w:start w:val="1"/>
      <w:numFmt w:val="bullet"/>
      <w:lvlText w:val=""/>
      <w:lvlJc w:val="left"/>
      <w:pPr>
        <w:ind w:left="2598" w:hanging="360"/>
      </w:pPr>
      <w:rPr>
        <w:rFonts w:ascii="Wingdings" w:hAnsi="Wingdings" w:hint="default"/>
      </w:rPr>
    </w:lvl>
    <w:lvl w:ilvl="3" w:tplc="04190001" w:tentative="1">
      <w:start w:val="1"/>
      <w:numFmt w:val="bullet"/>
      <w:lvlText w:val=""/>
      <w:lvlJc w:val="left"/>
      <w:pPr>
        <w:ind w:left="3318" w:hanging="360"/>
      </w:pPr>
      <w:rPr>
        <w:rFonts w:ascii="Symbol" w:hAnsi="Symbol" w:hint="default"/>
      </w:rPr>
    </w:lvl>
    <w:lvl w:ilvl="4" w:tplc="04190003" w:tentative="1">
      <w:start w:val="1"/>
      <w:numFmt w:val="bullet"/>
      <w:lvlText w:val="o"/>
      <w:lvlJc w:val="left"/>
      <w:pPr>
        <w:ind w:left="4038" w:hanging="360"/>
      </w:pPr>
      <w:rPr>
        <w:rFonts w:ascii="Courier New" w:hAnsi="Courier New" w:hint="default"/>
      </w:rPr>
    </w:lvl>
    <w:lvl w:ilvl="5" w:tplc="04190005" w:tentative="1">
      <w:start w:val="1"/>
      <w:numFmt w:val="bullet"/>
      <w:lvlText w:val=""/>
      <w:lvlJc w:val="left"/>
      <w:pPr>
        <w:ind w:left="4758" w:hanging="360"/>
      </w:pPr>
      <w:rPr>
        <w:rFonts w:ascii="Wingdings" w:hAnsi="Wingdings" w:hint="default"/>
      </w:rPr>
    </w:lvl>
    <w:lvl w:ilvl="6" w:tplc="04190001" w:tentative="1">
      <w:start w:val="1"/>
      <w:numFmt w:val="bullet"/>
      <w:lvlText w:val=""/>
      <w:lvlJc w:val="left"/>
      <w:pPr>
        <w:ind w:left="5478" w:hanging="360"/>
      </w:pPr>
      <w:rPr>
        <w:rFonts w:ascii="Symbol" w:hAnsi="Symbol" w:hint="default"/>
      </w:rPr>
    </w:lvl>
    <w:lvl w:ilvl="7" w:tplc="04190003" w:tentative="1">
      <w:start w:val="1"/>
      <w:numFmt w:val="bullet"/>
      <w:lvlText w:val="o"/>
      <w:lvlJc w:val="left"/>
      <w:pPr>
        <w:ind w:left="6198" w:hanging="360"/>
      </w:pPr>
      <w:rPr>
        <w:rFonts w:ascii="Courier New" w:hAnsi="Courier New" w:hint="default"/>
      </w:rPr>
    </w:lvl>
    <w:lvl w:ilvl="8" w:tplc="04190005" w:tentative="1">
      <w:start w:val="1"/>
      <w:numFmt w:val="bullet"/>
      <w:lvlText w:val=""/>
      <w:lvlJc w:val="left"/>
      <w:pPr>
        <w:ind w:left="6918" w:hanging="360"/>
      </w:pPr>
      <w:rPr>
        <w:rFonts w:ascii="Wingdings" w:hAnsi="Wingdings" w:hint="default"/>
      </w:rPr>
    </w:lvl>
  </w:abstractNum>
  <w:abstractNum w:abstractNumId="30" w15:restartNumberingAfterBreak="0">
    <w:nsid w:val="705F4BAA"/>
    <w:multiLevelType w:val="multilevel"/>
    <w:tmpl w:val="2C7CF886"/>
    <w:lvl w:ilvl="0">
      <w:start w:val="1"/>
      <w:numFmt w:val="decimal"/>
      <w:lvlText w:val="%1."/>
      <w:lvlJc w:val="left"/>
      <w:pPr>
        <w:ind w:left="420" w:hanging="420"/>
      </w:pPr>
      <w:rPr>
        <w:rFonts w:cs="Times New Roman"/>
        <w:b/>
      </w:rPr>
    </w:lvl>
    <w:lvl w:ilvl="1">
      <w:start w:val="3"/>
      <w:numFmt w:val="decimal"/>
      <w:lvlText w:val="%1.%2."/>
      <w:lvlJc w:val="left"/>
      <w:pPr>
        <w:ind w:left="1571" w:hanging="720"/>
      </w:pPr>
      <w:rPr>
        <w:rFonts w:ascii="Times New Roman" w:hAnsi="Times New Roman" w:cs="Times New Roman" w:hint="default"/>
        <w:b/>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b w:val="0"/>
      </w:rPr>
    </w:lvl>
    <w:lvl w:ilvl="4">
      <w:start w:val="1"/>
      <w:numFmt w:val="decimal"/>
      <w:lvlText w:val="%1.%2.%3.%4.%5."/>
      <w:lvlJc w:val="left"/>
      <w:pPr>
        <w:ind w:left="1080" w:hanging="1080"/>
      </w:pPr>
      <w:rPr>
        <w:rFonts w:cs="Times New Roman"/>
        <w:b w:val="0"/>
      </w:rPr>
    </w:lvl>
    <w:lvl w:ilvl="5">
      <w:start w:val="1"/>
      <w:numFmt w:val="decimal"/>
      <w:lvlText w:val="%1.%2.%3.%4.%5.%6."/>
      <w:lvlJc w:val="left"/>
      <w:pPr>
        <w:ind w:left="1440" w:hanging="1440"/>
      </w:pPr>
      <w:rPr>
        <w:rFonts w:cs="Times New Roman"/>
        <w:b w:val="0"/>
      </w:rPr>
    </w:lvl>
    <w:lvl w:ilvl="6">
      <w:start w:val="1"/>
      <w:numFmt w:val="decimal"/>
      <w:lvlText w:val="%1.%2.%3.%4.%5.%6.%7."/>
      <w:lvlJc w:val="left"/>
      <w:pPr>
        <w:ind w:left="1440" w:hanging="1440"/>
      </w:pPr>
      <w:rPr>
        <w:rFonts w:cs="Times New Roman"/>
        <w:b w:val="0"/>
      </w:rPr>
    </w:lvl>
    <w:lvl w:ilvl="7">
      <w:start w:val="1"/>
      <w:numFmt w:val="decimal"/>
      <w:lvlText w:val="%1.%2.%3.%4.%5.%6.%7.%8."/>
      <w:lvlJc w:val="left"/>
      <w:pPr>
        <w:ind w:left="1800" w:hanging="1800"/>
      </w:pPr>
      <w:rPr>
        <w:rFonts w:cs="Times New Roman"/>
        <w:b w:val="0"/>
      </w:rPr>
    </w:lvl>
    <w:lvl w:ilvl="8">
      <w:start w:val="1"/>
      <w:numFmt w:val="decimal"/>
      <w:lvlText w:val="%1.%2.%3.%4.%5.%6.%7.%8.%9."/>
      <w:lvlJc w:val="left"/>
      <w:pPr>
        <w:ind w:left="2160" w:hanging="2160"/>
      </w:pPr>
      <w:rPr>
        <w:rFonts w:cs="Times New Roman"/>
        <w:b w:val="0"/>
      </w:rPr>
    </w:lvl>
  </w:abstractNum>
  <w:abstractNum w:abstractNumId="31" w15:restartNumberingAfterBreak="0">
    <w:nsid w:val="71AB754D"/>
    <w:multiLevelType w:val="hybridMultilevel"/>
    <w:tmpl w:val="D626185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735846B6"/>
    <w:multiLevelType w:val="hybridMultilevel"/>
    <w:tmpl w:val="29CCD55C"/>
    <w:lvl w:ilvl="0" w:tplc="D2105DD4">
      <w:numFmt w:val="bullet"/>
      <w:lvlText w:val="•"/>
      <w:lvlJc w:val="left"/>
      <w:pPr>
        <w:ind w:left="510" w:hanging="360"/>
      </w:pPr>
      <w:rPr>
        <w:rFonts w:ascii="Times New Roman" w:eastAsia="Times New Roman" w:hAnsi="Times New Roman" w:hint="default"/>
      </w:rPr>
    </w:lvl>
    <w:lvl w:ilvl="1" w:tplc="04190003" w:tentative="1">
      <w:start w:val="1"/>
      <w:numFmt w:val="bullet"/>
      <w:lvlText w:val="o"/>
      <w:lvlJc w:val="left"/>
      <w:pPr>
        <w:ind w:left="1230" w:hanging="360"/>
      </w:pPr>
      <w:rPr>
        <w:rFonts w:ascii="Courier New" w:hAnsi="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3" w15:restartNumberingAfterBreak="0">
    <w:nsid w:val="786B6C03"/>
    <w:multiLevelType w:val="hybridMultilevel"/>
    <w:tmpl w:val="15A0F5AC"/>
    <w:lvl w:ilvl="0" w:tplc="04190001">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15:restartNumberingAfterBreak="0">
    <w:nsid w:val="7B15376F"/>
    <w:multiLevelType w:val="hybridMultilevel"/>
    <w:tmpl w:val="AAFE5E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B682455"/>
    <w:multiLevelType w:val="hybridMultilevel"/>
    <w:tmpl w:val="C72EC468"/>
    <w:lvl w:ilvl="0" w:tplc="5FBAE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20"/>
  </w:num>
  <w:num w:numId="3">
    <w:abstractNumId w:val="21"/>
  </w:num>
  <w:num w:numId="4">
    <w:abstractNumId w:val="17"/>
  </w:num>
  <w:num w:numId="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
  </w:num>
  <w:num w:numId="8">
    <w:abstractNumId w:val="23"/>
  </w:num>
  <w:num w:numId="9">
    <w:abstractNumId w:val="32"/>
  </w:num>
  <w:num w:numId="10">
    <w:abstractNumId w:val="9"/>
  </w:num>
  <w:num w:numId="11">
    <w:abstractNumId w:val="28"/>
  </w:num>
  <w:num w:numId="12">
    <w:abstractNumId w:val="19"/>
  </w:num>
  <w:num w:numId="13">
    <w:abstractNumId w:val="5"/>
  </w:num>
  <w:num w:numId="14">
    <w:abstractNumId w:val="18"/>
  </w:num>
  <w:num w:numId="15">
    <w:abstractNumId w:val="34"/>
  </w:num>
  <w:num w:numId="16">
    <w:abstractNumId w:val="6"/>
  </w:num>
  <w:num w:numId="17">
    <w:abstractNumId w:val="12"/>
  </w:num>
  <w:num w:numId="18">
    <w:abstractNumId w:val="24"/>
  </w:num>
  <w:num w:numId="19">
    <w:abstractNumId w:val="8"/>
  </w:num>
  <w:num w:numId="20">
    <w:abstractNumId w:val="17"/>
  </w:num>
  <w:num w:numId="2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1"/>
  </w:num>
  <w:num w:numId="24">
    <w:abstractNumId w:val="27"/>
  </w:num>
  <w:num w:numId="25">
    <w:abstractNumId w:val="3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0"/>
  </w:num>
  <w:num w:numId="28">
    <w:abstractNumId w:val="26"/>
  </w:num>
  <w:num w:numId="29">
    <w:abstractNumId w:val="25"/>
  </w:num>
  <w:num w:numId="30">
    <w:abstractNumId w:val="2"/>
  </w:num>
  <w:num w:numId="31">
    <w:abstractNumId w:val="15"/>
  </w:num>
  <w:num w:numId="32">
    <w:abstractNumId w:val="10"/>
  </w:num>
  <w:num w:numId="33">
    <w:abstractNumId w:val="7"/>
  </w:num>
  <w:num w:numId="34">
    <w:abstractNumId w:val="14"/>
  </w:num>
  <w:num w:numId="35">
    <w:abstractNumId w:val="0"/>
  </w:num>
  <w:num w:numId="36">
    <w:abstractNumId w:val="3"/>
  </w:num>
  <w:num w:numId="37">
    <w:abstractNumId w:val="13"/>
  </w:num>
  <w:num w:numId="38">
    <w:abstractNumId w:val="35"/>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280"/>
    <w:rsid w:val="00000002"/>
    <w:rsid w:val="00000594"/>
    <w:rsid w:val="000011AC"/>
    <w:rsid w:val="00001DB0"/>
    <w:rsid w:val="0000224C"/>
    <w:rsid w:val="00002AAC"/>
    <w:rsid w:val="00002B43"/>
    <w:rsid w:val="000036EC"/>
    <w:rsid w:val="0000538D"/>
    <w:rsid w:val="00007497"/>
    <w:rsid w:val="00007613"/>
    <w:rsid w:val="00010E0A"/>
    <w:rsid w:val="00011594"/>
    <w:rsid w:val="00011A02"/>
    <w:rsid w:val="00011E89"/>
    <w:rsid w:val="000135E3"/>
    <w:rsid w:val="00014F10"/>
    <w:rsid w:val="00014FCC"/>
    <w:rsid w:val="00015C8C"/>
    <w:rsid w:val="00016D84"/>
    <w:rsid w:val="000179B8"/>
    <w:rsid w:val="000179C4"/>
    <w:rsid w:val="00017E30"/>
    <w:rsid w:val="00021115"/>
    <w:rsid w:val="00023D3C"/>
    <w:rsid w:val="00024967"/>
    <w:rsid w:val="00025504"/>
    <w:rsid w:val="00025A5D"/>
    <w:rsid w:val="00026445"/>
    <w:rsid w:val="00030EE0"/>
    <w:rsid w:val="0003131C"/>
    <w:rsid w:val="0003261C"/>
    <w:rsid w:val="00032F1C"/>
    <w:rsid w:val="00034938"/>
    <w:rsid w:val="00034DE3"/>
    <w:rsid w:val="00034E17"/>
    <w:rsid w:val="00035F99"/>
    <w:rsid w:val="00041AA9"/>
    <w:rsid w:val="00041EBC"/>
    <w:rsid w:val="00042630"/>
    <w:rsid w:val="00042C14"/>
    <w:rsid w:val="00043063"/>
    <w:rsid w:val="000452AF"/>
    <w:rsid w:val="00047427"/>
    <w:rsid w:val="000505E3"/>
    <w:rsid w:val="00054266"/>
    <w:rsid w:val="00054F05"/>
    <w:rsid w:val="0005519E"/>
    <w:rsid w:val="00055B4C"/>
    <w:rsid w:val="00055B8E"/>
    <w:rsid w:val="0005614C"/>
    <w:rsid w:val="00056623"/>
    <w:rsid w:val="000578AD"/>
    <w:rsid w:val="0005791B"/>
    <w:rsid w:val="0006078E"/>
    <w:rsid w:val="00063658"/>
    <w:rsid w:val="00064E16"/>
    <w:rsid w:val="00064F74"/>
    <w:rsid w:val="00067834"/>
    <w:rsid w:val="00070942"/>
    <w:rsid w:val="00071719"/>
    <w:rsid w:val="00071E9E"/>
    <w:rsid w:val="0007241B"/>
    <w:rsid w:val="0007292A"/>
    <w:rsid w:val="00072E33"/>
    <w:rsid w:val="00074462"/>
    <w:rsid w:val="000748CA"/>
    <w:rsid w:val="00074D89"/>
    <w:rsid w:val="00074E42"/>
    <w:rsid w:val="0007659C"/>
    <w:rsid w:val="00076F13"/>
    <w:rsid w:val="00080E4C"/>
    <w:rsid w:val="00083B6E"/>
    <w:rsid w:val="000846BF"/>
    <w:rsid w:val="00085804"/>
    <w:rsid w:val="00086732"/>
    <w:rsid w:val="00086C60"/>
    <w:rsid w:val="0008709D"/>
    <w:rsid w:val="000917C2"/>
    <w:rsid w:val="000923C6"/>
    <w:rsid w:val="000924BF"/>
    <w:rsid w:val="000928C4"/>
    <w:rsid w:val="000931C5"/>
    <w:rsid w:val="0009797E"/>
    <w:rsid w:val="000A1586"/>
    <w:rsid w:val="000A17BE"/>
    <w:rsid w:val="000A252A"/>
    <w:rsid w:val="000A473F"/>
    <w:rsid w:val="000A4BC3"/>
    <w:rsid w:val="000A5BDD"/>
    <w:rsid w:val="000A5CE3"/>
    <w:rsid w:val="000A7FE9"/>
    <w:rsid w:val="000B0142"/>
    <w:rsid w:val="000B04FA"/>
    <w:rsid w:val="000B06FB"/>
    <w:rsid w:val="000B0DB5"/>
    <w:rsid w:val="000B0F56"/>
    <w:rsid w:val="000B17FA"/>
    <w:rsid w:val="000B1B2B"/>
    <w:rsid w:val="000B1B99"/>
    <w:rsid w:val="000B2CB7"/>
    <w:rsid w:val="000B3155"/>
    <w:rsid w:val="000B4B91"/>
    <w:rsid w:val="000B71BB"/>
    <w:rsid w:val="000B7784"/>
    <w:rsid w:val="000B7F73"/>
    <w:rsid w:val="000C0615"/>
    <w:rsid w:val="000C0A96"/>
    <w:rsid w:val="000C0CBC"/>
    <w:rsid w:val="000C0E65"/>
    <w:rsid w:val="000C6ED0"/>
    <w:rsid w:val="000C71CB"/>
    <w:rsid w:val="000C74D4"/>
    <w:rsid w:val="000D053D"/>
    <w:rsid w:val="000D1446"/>
    <w:rsid w:val="000D166D"/>
    <w:rsid w:val="000D2C23"/>
    <w:rsid w:val="000D3786"/>
    <w:rsid w:val="000D6C2B"/>
    <w:rsid w:val="000D7918"/>
    <w:rsid w:val="000D79B0"/>
    <w:rsid w:val="000E0B86"/>
    <w:rsid w:val="000E1B86"/>
    <w:rsid w:val="000E33A8"/>
    <w:rsid w:val="000E5F28"/>
    <w:rsid w:val="000E6CD7"/>
    <w:rsid w:val="000E6DFF"/>
    <w:rsid w:val="000E7DD2"/>
    <w:rsid w:val="000F023F"/>
    <w:rsid w:val="000F0871"/>
    <w:rsid w:val="000F1CAB"/>
    <w:rsid w:val="000F1FFA"/>
    <w:rsid w:val="000F3501"/>
    <w:rsid w:val="000F3F3F"/>
    <w:rsid w:val="000F4967"/>
    <w:rsid w:val="000F50B8"/>
    <w:rsid w:val="000F7F6E"/>
    <w:rsid w:val="001006FC"/>
    <w:rsid w:val="0010124E"/>
    <w:rsid w:val="00101389"/>
    <w:rsid w:val="00102178"/>
    <w:rsid w:val="001028AF"/>
    <w:rsid w:val="001058E4"/>
    <w:rsid w:val="00110D56"/>
    <w:rsid w:val="00110F72"/>
    <w:rsid w:val="001114E5"/>
    <w:rsid w:val="0011286F"/>
    <w:rsid w:val="00113FBB"/>
    <w:rsid w:val="0011441C"/>
    <w:rsid w:val="00114BEE"/>
    <w:rsid w:val="00117779"/>
    <w:rsid w:val="0012067D"/>
    <w:rsid w:val="0012114D"/>
    <w:rsid w:val="00121246"/>
    <w:rsid w:val="00121A08"/>
    <w:rsid w:val="00121A15"/>
    <w:rsid w:val="00121CFD"/>
    <w:rsid w:val="00122340"/>
    <w:rsid w:val="001247B2"/>
    <w:rsid w:val="001257D9"/>
    <w:rsid w:val="00125E16"/>
    <w:rsid w:val="00126039"/>
    <w:rsid w:val="00126BBD"/>
    <w:rsid w:val="00127870"/>
    <w:rsid w:val="0013046E"/>
    <w:rsid w:val="00130E44"/>
    <w:rsid w:val="001314AB"/>
    <w:rsid w:val="00132392"/>
    <w:rsid w:val="00133055"/>
    <w:rsid w:val="0013385A"/>
    <w:rsid w:val="00133FD2"/>
    <w:rsid w:val="001356BF"/>
    <w:rsid w:val="00136CC4"/>
    <w:rsid w:val="00136EEF"/>
    <w:rsid w:val="00137B6C"/>
    <w:rsid w:val="00141E37"/>
    <w:rsid w:val="00142093"/>
    <w:rsid w:val="0014274E"/>
    <w:rsid w:val="00143A8C"/>
    <w:rsid w:val="00143DFC"/>
    <w:rsid w:val="00145892"/>
    <w:rsid w:val="00146F09"/>
    <w:rsid w:val="0015001A"/>
    <w:rsid w:val="00150147"/>
    <w:rsid w:val="00151F07"/>
    <w:rsid w:val="0015279C"/>
    <w:rsid w:val="0015285C"/>
    <w:rsid w:val="00152DE9"/>
    <w:rsid w:val="00154EBC"/>
    <w:rsid w:val="0015580D"/>
    <w:rsid w:val="001605F4"/>
    <w:rsid w:val="001611D1"/>
    <w:rsid w:val="00162425"/>
    <w:rsid w:val="001636E5"/>
    <w:rsid w:val="00163EE2"/>
    <w:rsid w:val="00164C22"/>
    <w:rsid w:val="00164DBE"/>
    <w:rsid w:val="00165798"/>
    <w:rsid w:val="00165A9D"/>
    <w:rsid w:val="001669F4"/>
    <w:rsid w:val="00166E85"/>
    <w:rsid w:val="001700E0"/>
    <w:rsid w:val="001714A8"/>
    <w:rsid w:val="00171B85"/>
    <w:rsid w:val="00171E9E"/>
    <w:rsid w:val="00174947"/>
    <w:rsid w:val="00174EE1"/>
    <w:rsid w:val="0017639B"/>
    <w:rsid w:val="001801A0"/>
    <w:rsid w:val="00181131"/>
    <w:rsid w:val="001819B0"/>
    <w:rsid w:val="001819EA"/>
    <w:rsid w:val="00182363"/>
    <w:rsid w:val="00182633"/>
    <w:rsid w:val="00183377"/>
    <w:rsid w:val="001839C0"/>
    <w:rsid w:val="00184046"/>
    <w:rsid w:val="0018444B"/>
    <w:rsid w:val="00184A03"/>
    <w:rsid w:val="00184BB7"/>
    <w:rsid w:val="00185395"/>
    <w:rsid w:val="00185975"/>
    <w:rsid w:val="00187FA5"/>
    <w:rsid w:val="001906C2"/>
    <w:rsid w:val="001927FA"/>
    <w:rsid w:val="00193C04"/>
    <w:rsid w:val="00193F91"/>
    <w:rsid w:val="00194428"/>
    <w:rsid w:val="001A13E6"/>
    <w:rsid w:val="001A1DD0"/>
    <w:rsid w:val="001A1DEB"/>
    <w:rsid w:val="001A22B2"/>
    <w:rsid w:val="001A24D4"/>
    <w:rsid w:val="001A2C3E"/>
    <w:rsid w:val="001A3BCF"/>
    <w:rsid w:val="001A50A6"/>
    <w:rsid w:val="001A53F0"/>
    <w:rsid w:val="001A64D6"/>
    <w:rsid w:val="001A74CA"/>
    <w:rsid w:val="001B14AA"/>
    <w:rsid w:val="001B254E"/>
    <w:rsid w:val="001B2D53"/>
    <w:rsid w:val="001B2F24"/>
    <w:rsid w:val="001B3259"/>
    <w:rsid w:val="001B33AB"/>
    <w:rsid w:val="001B38A4"/>
    <w:rsid w:val="001B71B1"/>
    <w:rsid w:val="001B7CCD"/>
    <w:rsid w:val="001C1CCB"/>
    <w:rsid w:val="001C2280"/>
    <w:rsid w:val="001C2DE8"/>
    <w:rsid w:val="001C304C"/>
    <w:rsid w:val="001C3D61"/>
    <w:rsid w:val="001C4CF1"/>
    <w:rsid w:val="001C572C"/>
    <w:rsid w:val="001C68AF"/>
    <w:rsid w:val="001C77A0"/>
    <w:rsid w:val="001D11F8"/>
    <w:rsid w:val="001D17A6"/>
    <w:rsid w:val="001D29F9"/>
    <w:rsid w:val="001D4AF6"/>
    <w:rsid w:val="001D4EAF"/>
    <w:rsid w:val="001D5FEA"/>
    <w:rsid w:val="001D6642"/>
    <w:rsid w:val="001D6990"/>
    <w:rsid w:val="001D7E44"/>
    <w:rsid w:val="001E0D8A"/>
    <w:rsid w:val="001E0FCA"/>
    <w:rsid w:val="001E1A5B"/>
    <w:rsid w:val="001E2EA2"/>
    <w:rsid w:val="001E39BC"/>
    <w:rsid w:val="001E4D07"/>
    <w:rsid w:val="001E4F82"/>
    <w:rsid w:val="001E52DF"/>
    <w:rsid w:val="001E56B9"/>
    <w:rsid w:val="001E5834"/>
    <w:rsid w:val="001E5AE3"/>
    <w:rsid w:val="001E5D45"/>
    <w:rsid w:val="001E5F7F"/>
    <w:rsid w:val="001E64E2"/>
    <w:rsid w:val="001E6B89"/>
    <w:rsid w:val="001E6C36"/>
    <w:rsid w:val="001F00C7"/>
    <w:rsid w:val="001F2EDE"/>
    <w:rsid w:val="001F3025"/>
    <w:rsid w:val="001F30EF"/>
    <w:rsid w:val="001F4154"/>
    <w:rsid w:val="001F4452"/>
    <w:rsid w:val="001F677D"/>
    <w:rsid w:val="001F70E3"/>
    <w:rsid w:val="001F7F61"/>
    <w:rsid w:val="00200A1A"/>
    <w:rsid w:val="00200B32"/>
    <w:rsid w:val="00201A16"/>
    <w:rsid w:val="00203059"/>
    <w:rsid w:val="002038B3"/>
    <w:rsid w:val="00203C65"/>
    <w:rsid w:val="002041ED"/>
    <w:rsid w:val="00205B24"/>
    <w:rsid w:val="00206085"/>
    <w:rsid w:val="0020640B"/>
    <w:rsid w:val="002072D3"/>
    <w:rsid w:val="002077D8"/>
    <w:rsid w:val="00210397"/>
    <w:rsid w:val="00211A1F"/>
    <w:rsid w:val="00212064"/>
    <w:rsid w:val="00212349"/>
    <w:rsid w:val="00212795"/>
    <w:rsid w:val="00213B52"/>
    <w:rsid w:val="00220457"/>
    <w:rsid w:val="0022046A"/>
    <w:rsid w:val="00220BB0"/>
    <w:rsid w:val="00221012"/>
    <w:rsid w:val="002212C8"/>
    <w:rsid w:val="002230EE"/>
    <w:rsid w:val="00223BB2"/>
    <w:rsid w:val="00226095"/>
    <w:rsid w:val="00226908"/>
    <w:rsid w:val="00226A0D"/>
    <w:rsid w:val="00227125"/>
    <w:rsid w:val="00230303"/>
    <w:rsid w:val="00231A0B"/>
    <w:rsid w:val="00232387"/>
    <w:rsid w:val="002324E4"/>
    <w:rsid w:val="00234B09"/>
    <w:rsid w:val="002364DA"/>
    <w:rsid w:val="00236536"/>
    <w:rsid w:val="0023696F"/>
    <w:rsid w:val="00236A76"/>
    <w:rsid w:val="00236C90"/>
    <w:rsid w:val="00240655"/>
    <w:rsid w:val="00240D59"/>
    <w:rsid w:val="00240E55"/>
    <w:rsid w:val="00242156"/>
    <w:rsid w:val="00242811"/>
    <w:rsid w:val="002434F0"/>
    <w:rsid w:val="0024446E"/>
    <w:rsid w:val="002448B8"/>
    <w:rsid w:val="00244BFD"/>
    <w:rsid w:val="00245023"/>
    <w:rsid w:val="0024747F"/>
    <w:rsid w:val="00250D0F"/>
    <w:rsid w:val="00251353"/>
    <w:rsid w:val="0025144D"/>
    <w:rsid w:val="00251D2D"/>
    <w:rsid w:val="002523F1"/>
    <w:rsid w:val="002527D9"/>
    <w:rsid w:val="00253756"/>
    <w:rsid w:val="00253879"/>
    <w:rsid w:val="00253B7A"/>
    <w:rsid w:val="00254FDB"/>
    <w:rsid w:val="00255F81"/>
    <w:rsid w:val="00257D2D"/>
    <w:rsid w:val="00260064"/>
    <w:rsid w:val="00260632"/>
    <w:rsid w:val="00260C48"/>
    <w:rsid w:val="00260D8B"/>
    <w:rsid w:val="00260EFA"/>
    <w:rsid w:val="00261738"/>
    <w:rsid w:val="00261A15"/>
    <w:rsid w:val="00262296"/>
    <w:rsid w:val="002624EF"/>
    <w:rsid w:val="00262597"/>
    <w:rsid w:val="00263807"/>
    <w:rsid w:val="00263E99"/>
    <w:rsid w:val="00263F46"/>
    <w:rsid w:val="002640C9"/>
    <w:rsid w:val="00265BEE"/>
    <w:rsid w:val="00266E96"/>
    <w:rsid w:val="00266EA4"/>
    <w:rsid w:val="002712EC"/>
    <w:rsid w:val="002720F9"/>
    <w:rsid w:val="00273C79"/>
    <w:rsid w:val="0027494E"/>
    <w:rsid w:val="00275B5E"/>
    <w:rsid w:val="002766C4"/>
    <w:rsid w:val="00277081"/>
    <w:rsid w:val="0027727B"/>
    <w:rsid w:val="002778F7"/>
    <w:rsid w:val="00280557"/>
    <w:rsid w:val="00280B0D"/>
    <w:rsid w:val="00281135"/>
    <w:rsid w:val="0028118B"/>
    <w:rsid w:val="00282226"/>
    <w:rsid w:val="002825F1"/>
    <w:rsid w:val="002830AC"/>
    <w:rsid w:val="002834E1"/>
    <w:rsid w:val="0028429A"/>
    <w:rsid w:val="00284898"/>
    <w:rsid w:val="00284DED"/>
    <w:rsid w:val="00286BA4"/>
    <w:rsid w:val="00286DE1"/>
    <w:rsid w:val="0029056C"/>
    <w:rsid w:val="002917D6"/>
    <w:rsid w:val="00291B5A"/>
    <w:rsid w:val="00291C8A"/>
    <w:rsid w:val="0029258C"/>
    <w:rsid w:val="00294395"/>
    <w:rsid w:val="002943A4"/>
    <w:rsid w:val="00294741"/>
    <w:rsid w:val="00294A48"/>
    <w:rsid w:val="00294B63"/>
    <w:rsid w:val="00295293"/>
    <w:rsid w:val="00295D01"/>
    <w:rsid w:val="0029704D"/>
    <w:rsid w:val="002A0620"/>
    <w:rsid w:val="002A1535"/>
    <w:rsid w:val="002A2289"/>
    <w:rsid w:val="002A4E08"/>
    <w:rsid w:val="002A5B5B"/>
    <w:rsid w:val="002A6E2A"/>
    <w:rsid w:val="002A7114"/>
    <w:rsid w:val="002A74D1"/>
    <w:rsid w:val="002A7D85"/>
    <w:rsid w:val="002B005C"/>
    <w:rsid w:val="002B29A8"/>
    <w:rsid w:val="002B2C17"/>
    <w:rsid w:val="002B365D"/>
    <w:rsid w:val="002B399D"/>
    <w:rsid w:val="002B5DB5"/>
    <w:rsid w:val="002C0310"/>
    <w:rsid w:val="002C355B"/>
    <w:rsid w:val="002C3CDD"/>
    <w:rsid w:val="002C49D3"/>
    <w:rsid w:val="002C4A0D"/>
    <w:rsid w:val="002C4B6B"/>
    <w:rsid w:val="002C68B5"/>
    <w:rsid w:val="002C7E40"/>
    <w:rsid w:val="002D0C76"/>
    <w:rsid w:val="002D1163"/>
    <w:rsid w:val="002D1C3E"/>
    <w:rsid w:val="002D1DFD"/>
    <w:rsid w:val="002D2075"/>
    <w:rsid w:val="002D2747"/>
    <w:rsid w:val="002D435F"/>
    <w:rsid w:val="002D43C5"/>
    <w:rsid w:val="002D453E"/>
    <w:rsid w:val="002D5331"/>
    <w:rsid w:val="002D5534"/>
    <w:rsid w:val="002D7538"/>
    <w:rsid w:val="002D7B5F"/>
    <w:rsid w:val="002E039F"/>
    <w:rsid w:val="002E0E82"/>
    <w:rsid w:val="002E17BD"/>
    <w:rsid w:val="002E1F70"/>
    <w:rsid w:val="002E1FE7"/>
    <w:rsid w:val="002E2A1B"/>
    <w:rsid w:val="002E2DD3"/>
    <w:rsid w:val="002E3B61"/>
    <w:rsid w:val="002E5830"/>
    <w:rsid w:val="002E7B2F"/>
    <w:rsid w:val="002E7BC6"/>
    <w:rsid w:val="002F1645"/>
    <w:rsid w:val="002F2789"/>
    <w:rsid w:val="002F42B0"/>
    <w:rsid w:val="002F48DE"/>
    <w:rsid w:val="002F5288"/>
    <w:rsid w:val="002F56D9"/>
    <w:rsid w:val="002F5F8D"/>
    <w:rsid w:val="002F5F8E"/>
    <w:rsid w:val="002F6840"/>
    <w:rsid w:val="002F6F2C"/>
    <w:rsid w:val="002F7D85"/>
    <w:rsid w:val="003010DE"/>
    <w:rsid w:val="00301771"/>
    <w:rsid w:val="0030442E"/>
    <w:rsid w:val="00306861"/>
    <w:rsid w:val="00307E49"/>
    <w:rsid w:val="00311729"/>
    <w:rsid w:val="00311A90"/>
    <w:rsid w:val="00312C75"/>
    <w:rsid w:val="0031327F"/>
    <w:rsid w:val="00314299"/>
    <w:rsid w:val="00314E37"/>
    <w:rsid w:val="00320D4C"/>
    <w:rsid w:val="00321975"/>
    <w:rsid w:val="0032256A"/>
    <w:rsid w:val="003226BF"/>
    <w:rsid w:val="00322B6E"/>
    <w:rsid w:val="00322F5C"/>
    <w:rsid w:val="003243C0"/>
    <w:rsid w:val="0032453B"/>
    <w:rsid w:val="00325327"/>
    <w:rsid w:val="003266AD"/>
    <w:rsid w:val="00326A3E"/>
    <w:rsid w:val="00326C11"/>
    <w:rsid w:val="00326F91"/>
    <w:rsid w:val="0033140F"/>
    <w:rsid w:val="003331DA"/>
    <w:rsid w:val="00334DB3"/>
    <w:rsid w:val="003358AD"/>
    <w:rsid w:val="00335EB5"/>
    <w:rsid w:val="0034130D"/>
    <w:rsid w:val="00341540"/>
    <w:rsid w:val="00344B23"/>
    <w:rsid w:val="00344BC9"/>
    <w:rsid w:val="00345043"/>
    <w:rsid w:val="0034525A"/>
    <w:rsid w:val="00345F58"/>
    <w:rsid w:val="003464EE"/>
    <w:rsid w:val="0034784A"/>
    <w:rsid w:val="003504DB"/>
    <w:rsid w:val="00356067"/>
    <w:rsid w:val="00357115"/>
    <w:rsid w:val="00360207"/>
    <w:rsid w:val="003606F5"/>
    <w:rsid w:val="003622DC"/>
    <w:rsid w:val="00362530"/>
    <w:rsid w:val="00364C41"/>
    <w:rsid w:val="0036568A"/>
    <w:rsid w:val="0036590B"/>
    <w:rsid w:val="00365CA3"/>
    <w:rsid w:val="0036754F"/>
    <w:rsid w:val="00367816"/>
    <w:rsid w:val="00367AF7"/>
    <w:rsid w:val="00367FFE"/>
    <w:rsid w:val="00370DFE"/>
    <w:rsid w:val="003717B9"/>
    <w:rsid w:val="00372518"/>
    <w:rsid w:val="0037318C"/>
    <w:rsid w:val="00373A90"/>
    <w:rsid w:val="00373C7A"/>
    <w:rsid w:val="00373E52"/>
    <w:rsid w:val="003756B3"/>
    <w:rsid w:val="00375C39"/>
    <w:rsid w:val="00376445"/>
    <w:rsid w:val="00380215"/>
    <w:rsid w:val="00380C4D"/>
    <w:rsid w:val="00381243"/>
    <w:rsid w:val="00381BFB"/>
    <w:rsid w:val="00383B51"/>
    <w:rsid w:val="003850C9"/>
    <w:rsid w:val="003932DD"/>
    <w:rsid w:val="00393EFB"/>
    <w:rsid w:val="0039530B"/>
    <w:rsid w:val="003960F3"/>
    <w:rsid w:val="0039628F"/>
    <w:rsid w:val="0039792A"/>
    <w:rsid w:val="003A06FE"/>
    <w:rsid w:val="003A0C9B"/>
    <w:rsid w:val="003A1339"/>
    <w:rsid w:val="003A1CAD"/>
    <w:rsid w:val="003A2B3F"/>
    <w:rsid w:val="003A49EC"/>
    <w:rsid w:val="003A4DDA"/>
    <w:rsid w:val="003A5C9D"/>
    <w:rsid w:val="003A68FC"/>
    <w:rsid w:val="003B3647"/>
    <w:rsid w:val="003B3AD5"/>
    <w:rsid w:val="003B4830"/>
    <w:rsid w:val="003B4F4F"/>
    <w:rsid w:val="003B6350"/>
    <w:rsid w:val="003B65EE"/>
    <w:rsid w:val="003B6963"/>
    <w:rsid w:val="003B6A49"/>
    <w:rsid w:val="003B701C"/>
    <w:rsid w:val="003B7885"/>
    <w:rsid w:val="003C04A4"/>
    <w:rsid w:val="003C36F0"/>
    <w:rsid w:val="003C3C4C"/>
    <w:rsid w:val="003C5906"/>
    <w:rsid w:val="003C5E01"/>
    <w:rsid w:val="003C63C2"/>
    <w:rsid w:val="003C7856"/>
    <w:rsid w:val="003D0AAB"/>
    <w:rsid w:val="003D1CDB"/>
    <w:rsid w:val="003D1F98"/>
    <w:rsid w:val="003D28BA"/>
    <w:rsid w:val="003D2AEC"/>
    <w:rsid w:val="003D5C44"/>
    <w:rsid w:val="003D696D"/>
    <w:rsid w:val="003D6ADE"/>
    <w:rsid w:val="003D70C7"/>
    <w:rsid w:val="003D79DB"/>
    <w:rsid w:val="003D7FC4"/>
    <w:rsid w:val="003E07E1"/>
    <w:rsid w:val="003E094F"/>
    <w:rsid w:val="003E0E34"/>
    <w:rsid w:val="003E145B"/>
    <w:rsid w:val="003E2E68"/>
    <w:rsid w:val="003E6884"/>
    <w:rsid w:val="003E691B"/>
    <w:rsid w:val="003F1FA1"/>
    <w:rsid w:val="003F3761"/>
    <w:rsid w:val="003F3896"/>
    <w:rsid w:val="003F3B67"/>
    <w:rsid w:val="003F464C"/>
    <w:rsid w:val="003F5E8A"/>
    <w:rsid w:val="003F6695"/>
    <w:rsid w:val="003F6EDE"/>
    <w:rsid w:val="00400C58"/>
    <w:rsid w:val="004016D0"/>
    <w:rsid w:val="00401EB0"/>
    <w:rsid w:val="00402A52"/>
    <w:rsid w:val="00402AA4"/>
    <w:rsid w:val="00403278"/>
    <w:rsid w:val="004035BD"/>
    <w:rsid w:val="00405AD7"/>
    <w:rsid w:val="00406253"/>
    <w:rsid w:val="00406B97"/>
    <w:rsid w:val="00410802"/>
    <w:rsid w:val="004115ED"/>
    <w:rsid w:val="00411EA9"/>
    <w:rsid w:val="00412151"/>
    <w:rsid w:val="004124F7"/>
    <w:rsid w:val="004127EB"/>
    <w:rsid w:val="00412920"/>
    <w:rsid w:val="0041299B"/>
    <w:rsid w:val="00412BF1"/>
    <w:rsid w:val="00413497"/>
    <w:rsid w:val="00413F2E"/>
    <w:rsid w:val="004141BC"/>
    <w:rsid w:val="00414BB6"/>
    <w:rsid w:val="0041623C"/>
    <w:rsid w:val="00416C85"/>
    <w:rsid w:val="00417F16"/>
    <w:rsid w:val="00420CA6"/>
    <w:rsid w:val="00420FF7"/>
    <w:rsid w:val="00422A3A"/>
    <w:rsid w:val="00423362"/>
    <w:rsid w:val="00423822"/>
    <w:rsid w:val="0042400F"/>
    <w:rsid w:val="00424548"/>
    <w:rsid w:val="00424904"/>
    <w:rsid w:val="00425674"/>
    <w:rsid w:val="004262D6"/>
    <w:rsid w:val="004266F6"/>
    <w:rsid w:val="00427951"/>
    <w:rsid w:val="004311F0"/>
    <w:rsid w:val="00432F02"/>
    <w:rsid w:val="0043331D"/>
    <w:rsid w:val="004357BD"/>
    <w:rsid w:val="00436C59"/>
    <w:rsid w:val="00436F45"/>
    <w:rsid w:val="0043733E"/>
    <w:rsid w:val="00441250"/>
    <w:rsid w:val="00441EFF"/>
    <w:rsid w:val="00444319"/>
    <w:rsid w:val="00445557"/>
    <w:rsid w:val="00445F7E"/>
    <w:rsid w:val="0044797A"/>
    <w:rsid w:val="0045219E"/>
    <w:rsid w:val="00452D91"/>
    <w:rsid w:val="004533CD"/>
    <w:rsid w:val="004572CE"/>
    <w:rsid w:val="004574CB"/>
    <w:rsid w:val="0045777E"/>
    <w:rsid w:val="0046081C"/>
    <w:rsid w:val="0046326E"/>
    <w:rsid w:val="004637AF"/>
    <w:rsid w:val="00463F5F"/>
    <w:rsid w:val="0046533D"/>
    <w:rsid w:val="00465BC0"/>
    <w:rsid w:val="004664AA"/>
    <w:rsid w:val="00466A15"/>
    <w:rsid w:val="004702B9"/>
    <w:rsid w:val="00470876"/>
    <w:rsid w:val="0047355E"/>
    <w:rsid w:val="004737D0"/>
    <w:rsid w:val="00474426"/>
    <w:rsid w:val="0047442D"/>
    <w:rsid w:val="004747F0"/>
    <w:rsid w:val="00475618"/>
    <w:rsid w:val="0047575B"/>
    <w:rsid w:val="00476AF4"/>
    <w:rsid w:val="00476DBC"/>
    <w:rsid w:val="00476F2A"/>
    <w:rsid w:val="00480B4D"/>
    <w:rsid w:val="00481588"/>
    <w:rsid w:val="0048194E"/>
    <w:rsid w:val="004826AE"/>
    <w:rsid w:val="00484052"/>
    <w:rsid w:val="00485E1B"/>
    <w:rsid w:val="004861F4"/>
    <w:rsid w:val="00486639"/>
    <w:rsid w:val="0048708E"/>
    <w:rsid w:val="004871CD"/>
    <w:rsid w:val="0048793C"/>
    <w:rsid w:val="00491056"/>
    <w:rsid w:val="004947FA"/>
    <w:rsid w:val="004966F4"/>
    <w:rsid w:val="00496B6F"/>
    <w:rsid w:val="004A06A7"/>
    <w:rsid w:val="004A2BA0"/>
    <w:rsid w:val="004A4307"/>
    <w:rsid w:val="004A4815"/>
    <w:rsid w:val="004A482F"/>
    <w:rsid w:val="004A59C9"/>
    <w:rsid w:val="004A6D0C"/>
    <w:rsid w:val="004A7A22"/>
    <w:rsid w:val="004B0915"/>
    <w:rsid w:val="004B1BE4"/>
    <w:rsid w:val="004B2E46"/>
    <w:rsid w:val="004B7274"/>
    <w:rsid w:val="004B729B"/>
    <w:rsid w:val="004B7746"/>
    <w:rsid w:val="004C01AA"/>
    <w:rsid w:val="004C03A4"/>
    <w:rsid w:val="004C1C73"/>
    <w:rsid w:val="004C346C"/>
    <w:rsid w:val="004C3856"/>
    <w:rsid w:val="004C3F9C"/>
    <w:rsid w:val="004C53B0"/>
    <w:rsid w:val="004C6C63"/>
    <w:rsid w:val="004C7286"/>
    <w:rsid w:val="004C75DB"/>
    <w:rsid w:val="004D0676"/>
    <w:rsid w:val="004D157A"/>
    <w:rsid w:val="004D2DD7"/>
    <w:rsid w:val="004D394C"/>
    <w:rsid w:val="004D408E"/>
    <w:rsid w:val="004D4A5C"/>
    <w:rsid w:val="004D4DCE"/>
    <w:rsid w:val="004D55E2"/>
    <w:rsid w:val="004D7A7B"/>
    <w:rsid w:val="004D7F18"/>
    <w:rsid w:val="004E13C0"/>
    <w:rsid w:val="004E14DD"/>
    <w:rsid w:val="004E17FE"/>
    <w:rsid w:val="004E1C81"/>
    <w:rsid w:val="004E1D5F"/>
    <w:rsid w:val="004F0837"/>
    <w:rsid w:val="004F08D6"/>
    <w:rsid w:val="004F1037"/>
    <w:rsid w:val="004F1053"/>
    <w:rsid w:val="004F11C9"/>
    <w:rsid w:val="004F1D33"/>
    <w:rsid w:val="004F2876"/>
    <w:rsid w:val="004F3F36"/>
    <w:rsid w:val="004F4A6B"/>
    <w:rsid w:val="004F4D0C"/>
    <w:rsid w:val="004F575B"/>
    <w:rsid w:val="004F5AD5"/>
    <w:rsid w:val="004F65C3"/>
    <w:rsid w:val="004F660B"/>
    <w:rsid w:val="004F6841"/>
    <w:rsid w:val="004F6A10"/>
    <w:rsid w:val="004F6F30"/>
    <w:rsid w:val="004F7202"/>
    <w:rsid w:val="005011FC"/>
    <w:rsid w:val="00501ACD"/>
    <w:rsid w:val="005024A0"/>
    <w:rsid w:val="00502972"/>
    <w:rsid w:val="00502EFC"/>
    <w:rsid w:val="0050447C"/>
    <w:rsid w:val="00506142"/>
    <w:rsid w:val="00506966"/>
    <w:rsid w:val="00506F72"/>
    <w:rsid w:val="0051086B"/>
    <w:rsid w:val="005119FF"/>
    <w:rsid w:val="00511B15"/>
    <w:rsid w:val="0051263B"/>
    <w:rsid w:val="00515CFF"/>
    <w:rsid w:val="005162A5"/>
    <w:rsid w:val="005167AD"/>
    <w:rsid w:val="005216B9"/>
    <w:rsid w:val="00521921"/>
    <w:rsid w:val="00524201"/>
    <w:rsid w:val="00524B70"/>
    <w:rsid w:val="00524EFD"/>
    <w:rsid w:val="00526020"/>
    <w:rsid w:val="00527215"/>
    <w:rsid w:val="00530B5C"/>
    <w:rsid w:val="005312D5"/>
    <w:rsid w:val="00533B08"/>
    <w:rsid w:val="00534A45"/>
    <w:rsid w:val="00534DDF"/>
    <w:rsid w:val="00535674"/>
    <w:rsid w:val="005361BF"/>
    <w:rsid w:val="005366BF"/>
    <w:rsid w:val="00536D07"/>
    <w:rsid w:val="00537AEC"/>
    <w:rsid w:val="00541752"/>
    <w:rsid w:val="00541A25"/>
    <w:rsid w:val="00543D35"/>
    <w:rsid w:val="0054431B"/>
    <w:rsid w:val="005452F1"/>
    <w:rsid w:val="00545822"/>
    <w:rsid w:val="0054610D"/>
    <w:rsid w:val="005472BC"/>
    <w:rsid w:val="00547394"/>
    <w:rsid w:val="00547837"/>
    <w:rsid w:val="00547FC7"/>
    <w:rsid w:val="0055093F"/>
    <w:rsid w:val="00550CA3"/>
    <w:rsid w:val="00552F81"/>
    <w:rsid w:val="00553459"/>
    <w:rsid w:val="00553EF0"/>
    <w:rsid w:val="00555C5A"/>
    <w:rsid w:val="00556D6F"/>
    <w:rsid w:val="00557CE0"/>
    <w:rsid w:val="00561AD6"/>
    <w:rsid w:val="00561F3D"/>
    <w:rsid w:val="00562D27"/>
    <w:rsid w:val="00563015"/>
    <w:rsid w:val="00563B15"/>
    <w:rsid w:val="00564816"/>
    <w:rsid w:val="00565B28"/>
    <w:rsid w:val="00566F4F"/>
    <w:rsid w:val="005702E2"/>
    <w:rsid w:val="00570AA0"/>
    <w:rsid w:val="00571B16"/>
    <w:rsid w:val="00572635"/>
    <w:rsid w:val="00573307"/>
    <w:rsid w:val="0057345C"/>
    <w:rsid w:val="005753EE"/>
    <w:rsid w:val="005763C9"/>
    <w:rsid w:val="00580DEB"/>
    <w:rsid w:val="00581DBF"/>
    <w:rsid w:val="00582015"/>
    <w:rsid w:val="00582424"/>
    <w:rsid w:val="00582E49"/>
    <w:rsid w:val="00583021"/>
    <w:rsid w:val="00583486"/>
    <w:rsid w:val="0058378D"/>
    <w:rsid w:val="00583C1C"/>
    <w:rsid w:val="00583FB9"/>
    <w:rsid w:val="00586806"/>
    <w:rsid w:val="005879C9"/>
    <w:rsid w:val="00591009"/>
    <w:rsid w:val="005948C8"/>
    <w:rsid w:val="00594C49"/>
    <w:rsid w:val="00594CCB"/>
    <w:rsid w:val="0059612A"/>
    <w:rsid w:val="0059653C"/>
    <w:rsid w:val="0059699D"/>
    <w:rsid w:val="005971D2"/>
    <w:rsid w:val="005A01DD"/>
    <w:rsid w:val="005A0CB0"/>
    <w:rsid w:val="005A11E3"/>
    <w:rsid w:val="005A237E"/>
    <w:rsid w:val="005A48AA"/>
    <w:rsid w:val="005A4F03"/>
    <w:rsid w:val="005A4F67"/>
    <w:rsid w:val="005A585D"/>
    <w:rsid w:val="005A7E25"/>
    <w:rsid w:val="005B1269"/>
    <w:rsid w:val="005B2C6F"/>
    <w:rsid w:val="005B3C79"/>
    <w:rsid w:val="005B4B97"/>
    <w:rsid w:val="005B5ED2"/>
    <w:rsid w:val="005B62C6"/>
    <w:rsid w:val="005B6432"/>
    <w:rsid w:val="005B64A9"/>
    <w:rsid w:val="005C0C39"/>
    <w:rsid w:val="005C0D5E"/>
    <w:rsid w:val="005C0EB3"/>
    <w:rsid w:val="005C1B0E"/>
    <w:rsid w:val="005C2B17"/>
    <w:rsid w:val="005C2F4C"/>
    <w:rsid w:val="005C402E"/>
    <w:rsid w:val="005C5694"/>
    <w:rsid w:val="005C5C7B"/>
    <w:rsid w:val="005C6B76"/>
    <w:rsid w:val="005C7807"/>
    <w:rsid w:val="005C7CA7"/>
    <w:rsid w:val="005D13FE"/>
    <w:rsid w:val="005D1676"/>
    <w:rsid w:val="005D2A7C"/>
    <w:rsid w:val="005D4335"/>
    <w:rsid w:val="005D47D0"/>
    <w:rsid w:val="005D4E5D"/>
    <w:rsid w:val="005D6747"/>
    <w:rsid w:val="005D76B9"/>
    <w:rsid w:val="005D7718"/>
    <w:rsid w:val="005E1230"/>
    <w:rsid w:val="005E1D1E"/>
    <w:rsid w:val="005E3674"/>
    <w:rsid w:val="005E3A6E"/>
    <w:rsid w:val="005E3BBF"/>
    <w:rsid w:val="005E40F8"/>
    <w:rsid w:val="005E4D72"/>
    <w:rsid w:val="005E50BF"/>
    <w:rsid w:val="005E6A64"/>
    <w:rsid w:val="005F0D16"/>
    <w:rsid w:val="005F0FB8"/>
    <w:rsid w:val="005F1BD2"/>
    <w:rsid w:val="005F1C3B"/>
    <w:rsid w:val="005F2A68"/>
    <w:rsid w:val="005F2E6B"/>
    <w:rsid w:val="005F334A"/>
    <w:rsid w:val="005F349D"/>
    <w:rsid w:val="005F47E3"/>
    <w:rsid w:val="005F5406"/>
    <w:rsid w:val="005F6B75"/>
    <w:rsid w:val="005F7AE9"/>
    <w:rsid w:val="006008DC"/>
    <w:rsid w:val="00600928"/>
    <w:rsid w:val="0060095D"/>
    <w:rsid w:val="00602B42"/>
    <w:rsid w:val="00603E69"/>
    <w:rsid w:val="00604A19"/>
    <w:rsid w:val="00605165"/>
    <w:rsid w:val="006051B9"/>
    <w:rsid w:val="006060C9"/>
    <w:rsid w:val="00606949"/>
    <w:rsid w:val="00606EB0"/>
    <w:rsid w:val="0060710A"/>
    <w:rsid w:val="006102B9"/>
    <w:rsid w:val="00610811"/>
    <w:rsid w:val="00610F52"/>
    <w:rsid w:val="006112E4"/>
    <w:rsid w:val="00611625"/>
    <w:rsid w:val="006120DC"/>
    <w:rsid w:val="006133C6"/>
    <w:rsid w:val="0061389D"/>
    <w:rsid w:val="006138B9"/>
    <w:rsid w:val="00613EEC"/>
    <w:rsid w:val="00614DEF"/>
    <w:rsid w:val="00615688"/>
    <w:rsid w:val="00615943"/>
    <w:rsid w:val="00615B1B"/>
    <w:rsid w:val="006172B0"/>
    <w:rsid w:val="0061759E"/>
    <w:rsid w:val="0062001A"/>
    <w:rsid w:val="00621949"/>
    <w:rsid w:val="00621B7A"/>
    <w:rsid w:val="0062241A"/>
    <w:rsid w:val="00622814"/>
    <w:rsid w:val="00622C11"/>
    <w:rsid w:val="00623507"/>
    <w:rsid w:val="006236EF"/>
    <w:rsid w:val="00623E86"/>
    <w:rsid w:val="006244EB"/>
    <w:rsid w:val="00624CE3"/>
    <w:rsid w:val="00625D28"/>
    <w:rsid w:val="00626B94"/>
    <w:rsid w:val="00626D20"/>
    <w:rsid w:val="00627817"/>
    <w:rsid w:val="006279DD"/>
    <w:rsid w:val="006316E6"/>
    <w:rsid w:val="00631A2C"/>
    <w:rsid w:val="006324D4"/>
    <w:rsid w:val="00632F2D"/>
    <w:rsid w:val="0063348D"/>
    <w:rsid w:val="0063370D"/>
    <w:rsid w:val="00633DBA"/>
    <w:rsid w:val="0063440F"/>
    <w:rsid w:val="006407F5"/>
    <w:rsid w:val="00640802"/>
    <w:rsid w:val="00640AF5"/>
    <w:rsid w:val="00642015"/>
    <w:rsid w:val="00644036"/>
    <w:rsid w:val="006443D9"/>
    <w:rsid w:val="00644583"/>
    <w:rsid w:val="00644AF5"/>
    <w:rsid w:val="00645279"/>
    <w:rsid w:val="006452AA"/>
    <w:rsid w:val="00645BB0"/>
    <w:rsid w:val="00647500"/>
    <w:rsid w:val="006501D8"/>
    <w:rsid w:val="006506D6"/>
    <w:rsid w:val="006509C4"/>
    <w:rsid w:val="00650D2F"/>
    <w:rsid w:val="00651B9C"/>
    <w:rsid w:val="00651F2A"/>
    <w:rsid w:val="00653897"/>
    <w:rsid w:val="006543B0"/>
    <w:rsid w:val="00654819"/>
    <w:rsid w:val="00654BCA"/>
    <w:rsid w:val="006551AB"/>
    <w:rsid w:val="00655BA6"/>
    <w:rsid w:val="006613F8"/>
    <w:rsid w:val="006638BA"/>
    <w:rsid w:val="006639BC"/>
    <w:rsid w:val="00664316"/>
    <w:rsid w:val="006648A8"/>
    <w:rsid w:val="00665C7E"/>
    <w:rsid w:val="00666BEF"/>
    <w:rsid w:val="006671ED"/>
    <w:rsid w:val="006707BC"/>
    <w:rsid w:val="00671BA7"/>
    <w:rsid w:val="00673D94"/>
    <w:rsid w:val="006758CB"/>
    <w:rsid w:val="006762F2"/>
    <w:rsid w:val="006766E7"/>
    <w:rsid w:val="00676BB3"/>
    <w:rsid w:val="00676D24"/>
    <w:rsid w:val="0067713C"/>
    <w:rsid w:val="00677385"/>
    <w:rsid w:val="006806A4"/>
    <w:rsid w:val="00681787"/>
    <w:rsid w:val="00682D3A"/>
    <w:rsid w:val="00682D6C"/>
    <w:rsid w:val="0068378A"/>
    <w:rsid w:val="00683824"/>
    <w:rsid w:val="00684521"/>
    <w:rsid w:val="00684638"/>
    <w:rsid w:val="006855CD"/>
    <w:rsid w:val="0068576E"/>
    <w:rsid w:val="006874AB"/>
    <w:rsid w:val="00687A05"/>
    <w:rsid w:val="006901F2"/>
    <w:rsid w:val="00691CDB"/>
    <w:rsid w:val="00692051"/>
    <w:rsid w:val="00692DF3"/>
    <w:rsid w:val="00692F80"/>
    <w:rsid w:val="006951BF"/>
    <w:rsid w:val="00696257"/>
    <w:rsid w:val="00696F7A"/>
    <w:rsid w:val="006975FA"/>
    <w:rsid w:val="006A17B5"/>
    <w:rsid w:val="006A17F7"/>
    <w:rsid w:val="006A412B"/>
    <w:rsid w:val="006A5928"/>
    <w:rsid w:val="006A6D00"/>
    <w:rsid w:val="006A716D"/>
    <w:rsid w:val="006B04AC"/>
    <w:rsid w:val="006B0B4C"/>
    <w:rsid w:val="006B1E33"/>
    <w:rsid w:val="006B3AF2"/>
    <w:rsid w:val="006B3D9A"/>
    <w:rsid w:val="006B3E77"/>
    <w:rsid w:val="006B4193"/>
    <w:rsid w:val="006B4A68"/>
    <w:rsid w:val="006B4B8C"/>
    <w:rsid w:val="006B5DA8"/>
    <w:rsid w:val="006B6110"/>
    <w:rsid w:val="006B6301"/>
    <w:rsid w:val="006B6491"/>
    <w:rsid w:val="006C0079"/>
    <w:rsid w:val="006C02D1"/>
    <w:rsid w:val="006C12B1"/>
    <w:rsid w:val="006C1CD3"/>
    <w:rsid w:val="006C219F"/>
    <w:rsid w:val="006C2655"/>
    <w:rsid w:val="006C2780"/>
    <w:rsid w:val="006C3604"/>
    <w:rsid w:val="006C3731"/>
    <w:rsid w:val="006C4864"/>
    <w:rsid w:val="006C497E"/>
    <w:rsid w:val="006C4BD4"/>
    <w:rsid w:val="006C4E53"/>
    <w:rsid w:val="006C58D8"/>
    <w:rsid w:val="006C5A1D"/>
    <w:rsid w:val="006C5D11"/>
    <w:rsid w:val="006C5EAA"/>
    <w:rsid w:val="006C68AD"/>
    <w:rsid w:val="006C6989"/>
    <w:rsid w:val="006C6B63"/>
    <w:rsid w:val="006D0D09"/>
    <w:rsid w:val="006D1A2C"/>
    <w:rsid w:val="006D2019"/>
    <w:rsid w:val="006D2C8F"/>
    <w:rsid w:val="006D33DE"/>
    <w:rsid w:val="006D4E78"/>
    <w:rsid w:val="006D4FB3"/>
    <w:rsid w:val="006D5CAC"/>
    <w:rsid w:val="006D5EAD"/>
    <w:rsid w:val="006D5F1A"/>
    <w:rsid w:val="006E0464"/>
    <w:rsid w:val="006E1BD6"/>
    <w:rsid w:val="006E27EA"/>
    <w:rsid w:val="006E2AB8"/>
    <w:rsid w:val="006E4352"/>
    <w:rsid w:val="006E445E"/>
    <w:rsid w:val="006E4808"/>
    <w:rsid w:val="006E4CA4"/>
    <w:rsid w:val="006E5274"/>
    <w:rsid w:val="006E5396"/>
    <w:rsid w:val="006E7A7D"/>
    <w:rsid w:val="006F0E10"/>
    <w:rsid w:val="006F3270"/>
    <w:rsid w:val="006F3B2B"/>
    <w:rsid w:val="006F46E9"/>
    <w:rsid w:val="006F6466"/>
    <w:rsid w:val="006F6B5F"/>
    <w:rsid w:val="00701414"/>
    <w:rsid w:val="00701AEE"/>
    <w:rsid w:val="00702540"/>
    <w:rsid w:val="0070279B"/>
    <w:rsid w:val="00702EF9"/>
    <w:rsid w:val="00703093"/>
    <w:rsid w:val="007030A0"/>
    <w:rsid w:val="0070451C"/>
    <w:rsid w:val="00704D38"/>
    <w:rsid w:val="007068C4"/>
    <w:rsid w:val="007109E0"/>
    <w:rsid w:val="0071244B"/>
    <w:rsid w:val="0071688B"/>
    <w:rsid w:val="007174A5"/>
    <w:rsid w:val="00717A15"/>
    <w:rsid w:val="007224B3"/>
    <w:rsid w:val="00722A64"/>
    <w:rsid w:val="00722A86"/>
    <w:rsid w:val="00722F84"/>
    <w:rsid w:val="007248D7"/>
    <w:rsid w:val="00725FD5"/>
    <w:rsid w:val="0072732A"/>
    <w:rsid w:val="007311D0"/>
    <w:rsid w:val="00731D61"/>
    <w:rsid w:val="00732A71"/>
    <w:rsid w:val="00735C1D"/>
    <w:rsid w:val="00737DB7"/>
    <w:rsid w:val="00740127"/>
    <w:rsid w:val="00741D8B"/>
    <w:rsid w:val="007421DE"/>
    <w:rsid w:val="00742860"/>
    <w:rsid w:val="00743196"/>
    <w:rsid w:val="007431A6"/>
    <w:rsid w:val="00743214"/>
    <w:rsid w:val="00746961"/>
    <w:rsid w:val="00747C90"/>
    <w:rsid w:val="00750C20"/>
    <w:rsid w:val="00751154"/>
    <w:rsid w:val="007512F1"/>
    <w:rsid w:val="00751B4A"/>
    <w:rsid w:val="00752065"/>
    <w:rsid w:val="00753287"/>
    <w:rsid w:val="00754A7A"/>
    <w:rsid w:val="0075514A"/>
    <w:rsid w:val="00755334"/>
    <w:rsid w:val="00755CB4"/>
    <w:rsid w:val="00756152"/>
    <w:rsid w:val="00757B72"/>
    <w:rsid w:val="007611CF"/>
    <w:rsid w:val="00762C85"/>
    <w:rsid w:val="0076358D"/>
    <w:rsid w:val="007638A6"/>
    <w:rsid w:val="007643BA"/>
    <w:rsid w:val="0076524B"/>
    <w:rsid w:val="00766828"/>
    <w:rsid w:val="0076686A"/>
    <w:rsid w:val="007702C1"/>
    <w:rsid w:val="0077040A"/>
    <w:rsid w:val="00772B6A"/>
    <w:rsid w:val="00772E03"/>
    <w:rsid w:val="00773A75"/>
    <w:rsid w:val="00773FC0"/>
    <w:rsid w:val="007744A4"/>
    <w:rsid w:val="0077473C"/>
    <w:rsid w:val="00775348"/>
    <w:rsid w:val="007760C3"/>
    <w:rsid w:val="0077612D"/>
    <w:rsid w:val="00777158"/>
    <w:rsid w:val="0078101E"/>
    <w:rsid w:val="007833AC"/>
    <w:rsid w:val="00783494"/>
    <w:rsid w:val="00786723"/>
    <w:rsid w:val="00787C7A"/>
    <w:rsid w:val="00790211"/>
    <w:rsid w:val="0079103B"/>
    <w:rsid w:val="0079136C"/>
    <w:rsid w:val="00791D44"/>
    <w:rsid w:val="00792052"/>
    <w:rsid w:val="007930F3"/>
    <w:rsid w:val="00793102"/>
    <w:rsid w:val="00793C8A"/>
    <w:rsid w:val="0079468E"/>
    <w:rsid w:val="007946E9"/>
    <w:rsid w:val="0079499B"/>
    <w:rsid w:val="00795333"/>
    <w:rsid w:val="00795AD0"/>
    <w:rsid w:val="007967CD"/>
    <w:rsid w:val="00796A47"/>
    <w:rsid w:val="00797AC0"/>
    <w:rsid w:val="007A0891"/>
    <w:rsid w:val="007A2802"/>
    <w:rsid w:val="007A47D3"/>
    <w:rsid w:val="007A4E76"/>
    <w:rsid w:val="007A7165"/>
    <w:rsid w:val="007A72EE"/>
    <w:rsid w:val="007A7BEE"/>
    <w:rsid w:val="007B2034"/>
    <w:rsid w:val="007B2141"/>
    <w:rsid w:val="007B223F"/>
    <w:rsid w:val="007B26B6"/>
    <w:rsid w:val="007B37E8"/>
    <w:rsid w:val="007B6E03"/>
    <w:rsid w:val="007C02C1"/>
    <w:rsid w:val="007C06B3"/>
    <w:rsid w:val="007C0BB6"/>
    <w:rsid w:val="007C0E4E"/>
    <w:rsid w:val="007C1831"/>
    <w:rsid w:val="007C1D17"/>
    <w:rsid w:val="007C251B"/>
    <w:rsid w:val="007C2BEC"/>
    <w:rsid w:val="007C334A"/>
    <w:rsid w:val="007C34F7"/>
    <w:rsid w:val="007C3D4A"/>
    <w:rsid w:val="007C49C0"/>
    <w:rsid w:val="007C4C47"/>
    <w:rsid w:val="007C639D"/>
    <w:rsid w:val="007C735D"/>
    <w:rsid w:val="007C76BE"/>
    <w:rsid w:val="007D04EC"/>
    <w:rsid w:val="007D0E23"/>
    <w:rsid w:val="007D1CFE"/>
    <w:rsid w:val="007D21A9"/>
    <w:rsid w:val="007D2DD2"/>
    <w:rsid w:val="007D47BD"/>
    <w:rsid w:val="007D5B21"/>
    <w:rsid w:val="007D7A3C"/>
    <w:rsid w:val="007D7ACB"/>
    <w:rsid w:val="007D7C1F"/>
    <w:rsid w:val="007E1224"/>
    <w:rsid w:val="007E1C38"/>
    <w:rsid w:val="007E2369"/>
    <w:rsid w:val="007E2506"/>
    <w:rsid w:val="007E323D"/>
    <w:rsid w:val="007E4A02"/>
    <w:rsid w:val="007E6061"/>
    <w:rsid w:val="007E7005"/>
    <w:rsid w:val="007F0168"/>
    <w:rsid w:val="007F18D8"/>
    <w:rsid w:val="007F2472"/>
    <w:rsid w:val="007F25C3"/>
    <w:rsid w:val="007F5507"/>
    <w:rsid w:val="007F56A3"/>
    <w:rsid w:val="007F5E8E"/>
    <w:rsid w:val="007F622E"/>
    <w:rsid w:val="00800B7A"/>
    <w:rsid w:val="0080119A"/>
    <w:rsid w:val="0080182D"/>
    <w:rsid w:val="0080445C"/>
    <w:rsid w:val="00804596"/>
    <w:rsid w:val="00804F84"/>
    <w:rsid w:val="00805921"/>
    <w:rsid w:val="00806903"/>
    <w:rsid w:val="0080726D"/>
    <w:rsid w:val="00807467"/>
    <w:rsid w:val="00807A75"/>
    <w:rsid w:val="008108A8"/>
    <w:rsid w:val="00810FDF"/>
    <w:rsid w:val="008119DC"/>
    <w:rsid w:val="00811E2D"/>
    <w:rsid w:val="00812694"/>
    <w:rsid w:val="00812D92"/>
    <w:rsid w:val="00813BCC"/>
    <w:rsid w:val="00813E83"/>
    <w:rsid w:val="008149D7"/>
    <w:rsid w:val="00815003"/>
    <w:rsid w:val="008157AC"/>
    <w:rsid w:val="00815B5E"/>
    <w:rsid w:val="00816275"/>
    <w:rsid w:val="00816DE8"/>
    <w:rsid w:val="008200C7"/>
    <w:rsid w:val="008218A2"/>
    <w:rsid w:val="00822329"/>
    <w:rsid w:val="00823361"/>
    <w:rsid w:val="008236E5"/>
    <w:rsid w:val="00823A0E"/>
    <w:rsid w:val="00823CA4"/>
    <w:rsid w:val="00824B1F"/>
    <w:rsid w:val="00825227"/>
    <w:rsid w:val="00825527"/>
    <w:rsid w:val="008256A9"/>
    <w:rsid w:val="00826C80"/>
    <w:rsid w:val="00827317"/>
    <w:rsid w:val="008353D6"/>
    <w:rsid w:val="00835715"/>
    <w:rsid w:val="00836052"/>
    <w:rsid w:val="008366CB"/>
    <w:rsid w:val="00837462"/>
    <w:rsid w:val="00837C82"/>
    <w:rsid w:val="0084072D"/>
    <w:rsid w:val="00840C9C"/>
    <w:rsid w:val="00841272"/>
    <w:rsid w:val="00844681"/>
    <w:rsid w:val="008449EE"/>
    <w:rsid w:val="00844B24"/>
    <w:rsid w:val="00846ACC"/>
    <w:rsid w:val="0084722C"/>
    <w:rsid w:val="008500CA"/>
    <w:rsid w:val="008531AB"/>
    <w:rsid w:val="00854FC7"/>
    <w:rsid w:val="00855023"/>
    <w:rsid w:val="0085640E"/>
    <w:rsid w:val="00856950"/>
    <w:rsid w:val="00856DA8"/>
    <w:rsid w:val="008612BE"/>
    <w:rsid w:val="00863AC6"/>
    <w:rsid w:val="008643CB"/>
    <w:rsid w:val="00864590"/>
    <w:rsid w:val="00865578"/>
    <w:rsid w:val="00865F57"/>
    <w:rsid w:val="008668FF"/>
    <w:rsid w:val="0086756C"/>
    <w:rsid w:val="008708BD"/>
    <w:rsid w:val="00871894"/>
    <w:rsid w:val="008736EA"/>
    <w:rsid w:val="0087383C"/>
    <w:rsid w:val="00874A96"/>
    <w:rsid w:val="00875738"/>
    <w:rsid w:val="00877BA4"/>
    <w:rsid w:val="00882B30"/>
    <w:rsid w:val="00883295"/>
    <w:rsid w:val="00884A7B"/>
    <w:rsid w:val="00885C93"/>
    <w:rsid w:val="008868EF"/>
    <w:rsid w:val="0088707A"/>
    <w:rsid w:val="00887FE4"/>
    <w:rsid w:val="00890A93"/>
    <w:rsid w:val="00891A0F"/>
    <w:rsid w:val="00891B72"/>
    <w:rsid w:val="008922DB"/>
    <w:rsid w:val="00892C64"/>
    <w:rsid w:val="008931BD"/>
    <w:rsid w:val="00895498"/>
    <w:rsid w:val="00897311"/>
    <w:rsid w:val="00897D54"/>
    <w:rsid w:val="008A07B2"/>
    <w:rsid w:val="008A0EDF"/>
    <w:rsid w:val="008A1636"/>
    <w:rsid w:val="008A1D9B"/>
    <w:rsid w:val="008A1F1C"/>
    <w:rsid w:val="008A2F5B"/>
    <w:rsid w:val="008A4CB5"/>
    <w:rsid w:val="008A57BE"/>
    <w:rsid w:val="008A61F7"/>
    <w:rsid w:val="008A627C"/>
    <w:rsid w:val="008A6692"/>
    <w:rsid w:val="008B06A0"/>
    <w:rsid w:val="008B16A5"/>
    <w:rsid w:val="008B3537"/>
    <w:rsid w:val="008B3C91"/>
    <w:rsid w:val="008B3FBD"/>
    <w:rsid w:val="008B43E2"/>
    <w:rsid w:val="008B5921"/>
    <w:rsid w:val="008B6853"/>
    <w:rsid w:val="008B7110"/>
    <w:rsid w:val="008B7BC6"/>
    <w:rsid w:val="008B7FAC"/>
    <w:rsid w:val="008C1177"/>
    <w:rsid w:val="008C3600"/>
    <w:rsid w:val="008C37B9"/>
    <w:rsid w:val="008C3C3C"/>
    <w:rsid w:val="008C403F"/>
    <w:rsid w:val="008C4762"/>
    <w:rsid w:val="008C4C07"/>
    <w:rsid w:val="008C6726"/>
    <w:rsid w:val="008C71A4"/>
    <w:rsid w:val="008C7E23"/>
    <w:rsid w:val="008D005D"/>
    <w:rsid w:val="008D02D5"/>
    <w:rsid w:val="008D1BCA"/>
    <w:rsid w:val="008D2038"/>
    <w:rsid w:val="008D2EFD"/>
    <w:rsid w:val="008D4B4A"/>
    <w:rsid w:val="008D5AD1"/>
    <w:rsid w:val="008D6C2D"/>
    <w:rsid w:val="008E041B"/>
    <w:rsid w:val="008E1325"/>
    <w:rsid w:val="008E196E"/>
    <w:rsid w:val="008E2766"/>
    <w:rsid w:val="008E352E"/>
    <w:rsid w:val="008E4816"/>
    <w:rsid w:val="008E4B67"/>
    <w:rsid w:val="008E600B"/>
    <w:rsid w:val="008E6400"/>
    <w:rsid w:val="008E6465"/>
    <w:rsid w:val="008E665F"/>
    <w:rsid w:val="008E6790"/>
    <w:rsid w:val="008E7DD5"/>
    <w:rsid w:val="008E7F5F"/>
    <w:rsid w:val="008F144F"/>
    <w:rsid w:val="008F2029"/>
    <w:rsid w:val="008F24DB"/>
    <w:rsid w:val="008F3524"/>
    <w:rsid w:val="008F3891"/>
    <w:rsid w:val="008F39E1"/>
    <w:rsid w:val="008F409B"/>
    <w:rsid w:val="008F4B0B"/>
    <w:rsid w:val="008F4E45"/>
    <w:rsid w:val="008F4E9F"/>
    <w:rsid w:val="008F69A9"/>
    <w:rsid w:val="008F7181"/>
    <w:rsid w:val="008F7B46"/>
    <w:rsid w:val="00900868"/>
    <w:rsid w:val="00901959"/>
    <w:rsid w:val="009019D9"/>
    <w:rsid w:val="00901BAE"/>
    <w:rsid w:val="00902320"/>
    <w:rsid w:val="00902EB6"/>
    <w:rsid w:val="00903CB1"/>
    <w:rsid w:val="00903D59"/>
    <w:rsid w:val="00903D72"/>
    <w:rsid w:val="00904347"/>
    <w:rsid w:val="00904D80"/>
    <w:rsid w:val="009054E7"/>
    <w:rsid w:val="0090745F"/>
    <w:rsid w:val="00907ECE"/>
    <w:rsid w:val="0091024C"/>
    <w:rsid w:val="00911989"/>
    <w:rsid w:val="009119A3"/>
    <w:rsid w:val="00911D08"/>
    <w:rsid w:val="00912A1A"/>
    <w:rsid w:val="00912B50"/>
    <w:rsid w:val="009134FF"/>
    <w:rsid w:val="00914608"/>
    <w:rsid w:val="00915CB6"/>
    <w:rsid w:val="00915CDE"/>
    <w:rsid w:val="00915ECF"/>
    <w:rsid w:val="009165EB"/>
    <w:rsid w:val="00917F70"/>
    <w:rsid w:val="00920816"/>
    <w:rsid w:val="00921881"/>
    <w:rsid w:val="009218BB"/>
    <w:rsid w:val="0092323E"/>
    <w:rsid w:val="009232B1"/>
    <w:rsid w:val="009234B0"/>
    <w:rsid w:val="00923728"/>
    <w:rsid w:val="00923A42"/>
    <w:rsid w:val="00924B79"/>
    <w:rsid w:val="0092524E"/>
    <w:rsid w:val="009262F3"/>
    <w:rsid w:val="009262F9"/>
    <w:rsid w:val="00926455"/>
    <w:rsid w:val="00926893"/>
    <w:rsid w:val="00927F19"/>
    <w:rsid w:val="00930052"/>
    <w:rsid w:val="00930A2F"/>
    <w:rsid w:val="00931189"/>
    <w:rsid w:val="00932176"/>
    <w:rsid w:val="00932AE1"/>
    <w:rsid w:val="00932E76"/>
    <w:rsid w:val="009330D0"/>
    <w:rsid w:val="00933383"/>
    <w:rsid w:val="00934403"/>
    <w:rsid w:val="0093491B"/>
    <w:rsid w:val="009372A6"/>
    <w:rsid w:val="009407B5"/>
    <w:rsid w:val="0094136B"/>
    <w:rsid w:val="00941DD0"/>
    <w:rsid w:val="00943550"/>
    <w:rsid w:val="00943BCF"/>
    <w:rsid w:val="009444DA"/>
    <w:rsid w:val="0095096D"/>
    <w:rsid w:val="0095157E"/>
    <w:rsid w:val="00952BEB"/>
    <w:rsid w:val="00955FA7"/>
    <w:rsid w:val="009572B0"/>
    <w:rsid w:val="0095755F"/>
    <w:rsid w:val="009576DB"/>
    <w:rsid w:val="009610F9"/>
    <w:rsid w:val="00962560"/>
    <w:rsid w:val="009638AB"/>
    <w:rsid w:val="00963AF4"/>
    <w:rsid w:val="00963E32"/>
    <w:rsid w:val="0096475E"/>
    <w:rsid w:val="009647F2"/>
    <w:rsid w:val="00965E28"/>
    <w:rsid w:val="009671FA"/>
    <w:rsid w:val="00967566"/>
    <w:rsid w:val="009714B0"/>
    <w:rsid w:val="0097207F"/>
    <w:rsid w:val="00972CEC"/>
    <w:rsid w:val="00972D97"/>
    <w:rsid w:val="00973454"/>
    <w:rsid w:val="00973E0C"/>
    <w:rsid w:val="00974663"/>
    <w:rsid w:val="00974C0F"/>
    <w:rsid w:val="0097517C"/>
    <w:rsid w:val="009755D6"/>
    <w:rsid w:val="00975DD1"/>
    <w:rsid w:val="0097692C"/>
    <w:rsid w:val="00976B23"/>
    <w:rsid w:val="00976CC0"/>
    <w:rsid w:val="00977D2B"/>
    <w:rsid w:val="009806C2"/>
    <w:rsid w:val="00981A2C"/>
    <w:rsid w:val="00981EE1"/>
    <w:rsid w:val="00982603"/>
    <w:rsid w:val="0098274A"/>
    <w:rsid w:val="00982DEC"/>
    <w:rsid w:val="009845CE"/>
    <w:rsid w:val="00984AA8"/>
    <w:rsid w:val="009879FC"/>
    <w:rsid w:val="00987F2F"/>
    <w:rsid w:val="00990927"/>
    <w:rsid w:val="009925B0"/>
    <w:rsid w:val="00992A1C"/>
    <w:rsid w:val="00993781"/>
    <w:rsid w:val="009937A7"/>
    <w:rsid w:val="0099381D"/>
    <w:rsid w:val="00995246"/>
    <w:rsid w:val="009954DF"/>
    <w:rsid w:val="00995D99"/>
    <w:rsid w:val="00995DCE"/>
    <w:rsid w:val="00996289"/>
    <w:rsid w:val="009972AA"/>
    <w:rsid w:val="009A3DFA"/>
    <w:rsid w:val="009A3F68"/>
    <w:rsid w:val="009A4A9A"/>
    <w:rsid w:val="009A53A9"/>
    <w:rsid w:val="009A5884"/>
    <w:rsid w:val="009A6D37"/>
    <w:rsid w:val="009B0050"/>
    <w:rsid w:val="009B0076"/>
    <w:rsid w:val="009B024D"/>
    <w:rsid w:val="009B0CB1"/>
    <w:rsid w:val="009B0EB2"/>
    <w:rsid w:val="009B29C3"/>
    <w:rsid w:val="009B316F"/>
    <w:rsid w:val="009B6761"/>
    <w:rsid w:val="009B72E9"/>
    <w:rsid w:val="009C04EC"/>
    <w:rsid w:val="009C1353"/>
    <w:rsid w:val="009C1840"/>
    <w:rsid w:val="009C1A6A"/>
    <w:rsid w:val="009C1C70"/>
    <w:rsid w:val="009C5A2F"/>
    <w:rsid w:val="009D005A"/>
    <w:rsid w:val="009D0671"/>
    <w:rsid w:val="009D0B0E"/>
    <w:rsid w:val="009D24D4"/>
    <w:rsid w:val="009D25A7"/>
    <w:rsid w:val="009D3331"/>
    <w:rsid w:val="009D379E"/>
    <w:rsid w:val="009D37A0"/>
    <w:rsid w:val="009D458C"/>
    <w:rsid w:val="009D4C85"/>
    <w:rsid w:val="009D60AD"/>
    <w:rsid w:val="009D6533"/>
    <w:rsid w:val="009E0A37"/>
    <w:rsid w:val="009E1B1C"/>
    <w:rsid w:val="009E1F8B"/>
    <w:rsid w:val="009E206F"/>
    <w:rsid w:val="009E296D"/>
    <w:rsid w:val="009E2976"/>
    <w:rsid w:val="009E3AB0"/>
    <w:rsid w:val="009E3B48"/>
    <w:rsid w:val="009E4C0C"/>
    <w:rsid w:val="009E52BF"/>
    <w:rsid w:val="009E5B33"/>
    <w:rsid w:val="009F0524"/>
    <w:rsid w:val="009F1978"/>
    <w:rsid w:val="009F1DA7"/>
    <w:rsid w:val="009F24B6"/>
    <w:rsid w:val="009F271C"/>
    <w:rsid w:val="009F4962"/>
    <w:rsid w:val="009F4F66"/>
    <w:rsid w:val="009F4FE6"/>
    <w:rsid w:val="009F55AC"/>
    <w:rsid w:val="009F5874"/>
    <w:rsid w:val="009F5CA6"/>
    <w:rsid w:val="009F7BB8"/>
    <w:rsid w:val="00A00711"/>
    <w:rsid w:val="00A01932"/>
    <w:rsid w:val="00A01CAC"/>
    <w:rsid w:val="00A0233F"/>
    <w:rsid w:val="00A036B5"/>
    <w:rsid w:val="00A051D8"/>
    <w:rsid w:val="00A05ACC"/>
    <w:rsid w:val="00A06B07"/>
    <w:rsid w:val="00A06BA4"/>
    <w:rsid w:val="00A06CC3"/>
    <w:rsid w:val="00A11696"/>
    <w:rsid w:val="00A120DF"/>
    <w:rsid w:val="00A1339A"/>
    <w:rsid w:val="00A1366E"/>
    <w:rsid w:val="00A14D1E"/>
    <w:rsid w:val="00A1613B"/>
    <w:rsid w:val="00A16E19"/>
    <w:rsid w:val="00A17553"/>
    <w:rsid w:val="00A20E67"/>
    <w:rsid w:val="00A2124B"/>
    <w:rsid w:val="00A23AD3"/>
    <w:rsid w:val="00A23C7E"/>
    <w:rsid w:val="00A23FFC"/>
    <w:rsid w:val="00A24EA1"/>
    <w:rsid w:val="00A25094"/>
    <w:rsid w:val="00A25512"/>
    <w:rsid w:val="00A2577C"/>
    <w:rsid w:val="00A25C04"/>
    <w:rsid w:val="00A26926"/>
    <w:rsid w:val="00A27793"/>
    <w:rsid w:val="00A27B79"/>
    <w:rsid w:val="00A3084E"/>
    <w:rsid w:val="00A32A52"/>
    <w:rsid w:val="00A33AD3"/>
    <w:rsid w:val="00A3597D"/>
    <w:rsid w:val="00A3597E"/>
    <w:rsid w:val="00A36473"/>
    <w:rsid w:val="00A42520"/>
    <w:rsid w:val="00A42E6E"/>
    <w:rsid w:val="00A43C04"/>
    <w:rsid w:val="00A44685"/>
    <w:rsid w:val="00A45010"/>
    <w:rsid w:val="00A45248"/>
    <w:rsid w:val="00A47E3F"/>
    <w:rsid w:val="00A50F28"/>
    <w:rsid w:val="00A5210D"/>
    <w:rsid w:val="00A53F57"/>
    <w:rsid w:val="00A56CDC"/>
    <w:rsid w:val="00A5769C"/>
    <w:rsid w:val="00A57D55"/>
    <w:rsid w:val="00A6013C"/>
    <w:rsid w:val="00A6197B"/>
    <w:rsid w:val="00A6265A"/>
    <w:rsid w:val="00A6298F"/>
    <w:rsid w:val="00A63D3D"/>
    <w:rsid w:val="00A65DD3"/>
    <w:rsid w:val="00A67FF8"/>
    <w:rsid w:val="00A711CF"/>
    <w:rsid w:val="00A721BA"/>
    <w:rsid w:val="00A72B62"/>
    <w:rsid w:val="00A74D12"/>
    <w:rsid w:val="00A75E0B"/>
    <w:rsid w:val="00A75F81"/>
    <w:rsid w:val="00A80996"/>
    <w:rsid w:val="00A81228"/>
    <w:rsid w:val="00A8128B"/>
    <w:rsid w:val="00A8344C"/>
    <w:rsid w:val="00A85A23"/>
    <w:rsid w:val="00A86F68"/>
    <w:rsid w:val="00A90017"/>
    <w:rsid w:val="00A91CD6"/>
    <w:rsid w:val="00A92DB2"/>
    <w:rsid w:val="00A948E7"/>
    <w:rsid w:val="00A9491A"/>
    <w:rsid w:val="00A95088"/>
    <w:rsid w:val="00A966D7"/>
    <w:rsid w:val="00AA062B"/>
    <w:rsid w:val="00AA2AE8"/>
    <w:rsid w:val="00AA327D"/>
    <w:rsid w:val="00AA391E"/>
    <w:rsid w:val="00AA4264"/>
    <w:rsid w:val="00AA4B47"/>
    <w:rsid w:val="00AA65FF"/>
    <w:rsid w:val="00AA6A1C"/>
    <w:rsid w:val="00AA77D2"/>
    <w:rsid w:val="00AB047E"/>
    <w:rsid w:val="00AB093D"/>
    <w:rsid w:val="00AB1CE0"/>
    <w:rsid w:val="00AB25A4"/>
    <w:rsid w:val="00AB2964"/>
    <w:rsid w:val="00AB6E4F"/>
    <w:rsid w:val="00AB7A5B"/>
    <w:rsid w:val="00AC0009"/>
    <w:rsid w:val="00AC0370"/>
    <w:rsid w:val="00AC170D"/>
    <w:rsid w:val="00AC1780"/>
    <w:rsid w:val="00AC1D83"/>
    <w:rsid w:val="00AC2383"/>
    <w:rsid w:val="00AC23D9"/>
    <w:rsid w:val="00AC295D"/>
    <w:rsid w:val="00AC2EDE"/>
    <w:rsid w:val="00AC35CD"/>
    <w:rsid w:val="00AC43BF"/>
    <w:rsid w:val="00AC58E4"/>
    <w:rsid w:val="00AC7EDF"/>
    <w:rsid w:val="00AD03B0"/>
    <w:rsid w:val="00AD0F54"/>
    <w:rsid w:val="00AD19CE"/>
    <w:rsid w:val="00AD2279"/>
    <w:rsid w:val="00AD3D3B"/>
    <w:rsid w:val="00AD617C"/>
    <w:rsid w:val="00AD6FB1"/>
    <w:rsid w:val="00AE0276"/>
    <w:rsid w:val="00AE0AE3"/>
    <w:rsid w:val="00AE0D4B"/>
    <w:rsid w:val="00AE158F"/>
    <w:rsid w:val="00AE1A9F"/>
    <w:rsid w:val="00AE1DB8"/>
    <w:rsid w:val="00AE2888"/>
    <w:rsid w:val="00AE2C72"/>
    <w:rsid w:val="00AE31A9"/>
    <w:rsid w:val="00AE4BB2"/>
    <w:rsid w:val="00AE600C"/>
    <w:rsid w:val="00AE621C"/>
    <w:rsid w:val="00AE6603"/>
    <w:rsid w:val="00AE692F"/>
    <w:rsid w:val="00AE6A46"/>
    <w:rsid w:val="00AE7D5B"/>
    <w:rsid w:val="00AE7FC2"/>
    <w:rsid w:val="00AF0B30"/>
    <w:rsid w:val="00AF264E"/>
    <w:rsid w:val="00AF2916"/>
    <w:rsid w:val="00AF2EA7"/>
    <w:rsid w:val="00AF30BC"/>
    <w:rsid w:val="00AF4298"/>
    <w:rsid w:val="00AF6932"/>
    <w:rsid w:val="00AF7D85"/>
    <w:rsid w:val="00AF7DBC"/>
    <w:rsid w:val="00AF7EC9"/>
    <w:rsid w:val="00B019FE"/>
    <w:rsid w:val="00B022D3"/>
    <w:rsid w:val="00B02CB0"/>
    <w:rsid w:val="00B05357"/>
    <w:rsid w:val="00B07129"/>
    <w:rsid w:val="00B07A3C"/>
    <w:rsid w:val="00B10B81"/>
    <w:rsid w:val="00B1108C"/>
    <w:rsid w:val="00B11129"/>
    <w:rsid w:val="00B126C3"/>
    <w:rsid w:val="00B12BD2"/>
    <w:rsid w:val="00B13B6F"/>
    <w:rsid w:val="00B151DC"/>
    <w:rsid w:val="00B1540E"/>
    <w:rsid w:val="00B159E5"/>
    <w:rsid w:val="00B16641"/>
    <w:rsid w:val="00B17870"/>
    <w:rsid w:val="00B21453"/>
    <w:rsid w:val="00B21BF9"/>
    <w:rsid w:val="00B235DF"/>
    <w:rsid w:val="00B24BF9"/>
    <w:rsid w:val="00B24F1B"/>
    <w:rsid w:val="00B25184"/>
    <w:rsid w:val="00B265C2"/>
    <w:rsid w:val="00B26979"/>
    <w:rsid w:val="00B27040"/>
    <w:rsid w:val="00B27743"/>
    <w:rsid w:val="00B27BFD"/>
    <w:rsid w:val="00B306C0"/>
    <w:rsid w:val="00B30F8E"/>
    <w:rsid w:val="00B3142D"/>
    <w:rsid w:val="00B31DDA"/>
    <w:rsid w:val="00B31F98"/>
    <w:rsid w:val="00B348E6"/>
    <w:rsid w:val="00B409A0"/>
    <w:rsid w:val="00B40EAB"/>
    <w:rsid w:val="00B41440"/>
    <w:rsid w:val="00B41545"/>
    <w:rsid w:val="00B426E0"/>
    <w:rsid w:val="00B4331A"/>
    <w:rsid w:val="00B459D3"/>
    <w:rsid w:val="00B46FB9"/>
    <w:rsid w:val="00B47941"/>
    <w:rsid w:val="00B50426"/>
    <w:rsid w:val="00B5047B"/>
    <w:rsid w:val="00B5083B"/>
    <w:rsid w:val="00B50A79"/>
    <w:rsid w:val="00B50DE8"/>
    <w:rsid w:val="00B51A2A"/>
    <w:rsid w:val="00B52C1B"/>
    <w:rsid w:val="00B54633"/>
    <w:rsid w:val="00B5778F"/>
    <w:rsid w:val="00B618C1"/>
    <w:rsid w:val="00B6193D"/>
    <w:rsid w:val="00B62E87"/>
    <w:rsid w:val="00B6559F"/>
    <w:rsid w:val="00B660A5"/>
    <w:rsid w:val="00B663FA"/>
    <w:rsid w:val="00B665B2"/>
    <w:rsid w:val="00B70FA8"/>
    <w:rsid w:val="00B71D3C"/>
    <w:rsid w:val="00B721A1"/>
    <w:rsid w:val="00B72F2A"/>
    <w:rsid w:val="00B73E2F"/>
    <w:rsid w:val="00B74D22"/>
    <w:rsid w:val="00B74F1D"/>
    <w:rsid w:val="00B75987"/>
    <w:rsid w:val="00B75D65"/>
    <w:rsid w:val="00B765C2"/>
    <w:rsid w:val="00B768AF"/>
    <w:rsid w:val="00B77E17"/>
    <w:rsid w:val="00B831A6"/>
    <w:rsid w:val="00B835CA"/>
    <w:rsid w:val="00B85ECF"/>
    <w:rsid w:val="00B863D6"/>
    <w:rsid w:val="00B867C0"/>
    <w:rsid w:val="00B90B6C"/>
    <w:rsid w:val="00B91D33"/>
    <w:rsid w:val="00B91D48"/>
    <w:rsid w:val="00B92B9A"/>
    <w:rsid w:val="00B92D8C"/>
    <w:rsid w:val="00B9332B"/>
    <w:rsid w:val="00B93F92"/>
    <w:rsid w:val="00B94326"/>
    <w:rsid w:val="00B95444"/>
    <w:rsid w:val="00B95CB8"/>
    <w:rsid w:val="00B96790"/>
    <w:rsid w:val="00B97429"/>
    <w:rsid w:val="00B9756E"/>
    <w:rsid w:val="00BA0E9A"/>
    <w:rsid w:val="00BA2852"/>
    <w:rsid w:val="00BA2DA7"/>
    <w:rsid w:val="00BA2F03"/>
    <w:rsid w:val="00BA2F75"/>
    <w:rsid w:val="00BA4A67"/>
    <w:rsid w:val="00BA4EEE"/>
    <w:rsid w:val="00BA563A"/>
    <w:rsid w:val="00BA5A15"/>
    <w:rsid w:val="00BA6374"/>
    <w:rsid w:val="00BA6A5C"/>
    <w:rsid w:val="00BA787C"/>
    <w:rsid w:val="00BA7A1D"/>
    <w:rsid w:val="00BA7B8B"/>
    <w:rsid w:val="00BB1FD2"/>
    <w:rsid w:val="00BB277B"/>
    <w:rsid w:val="00BB3CD5"/>
    <w:rsid w:val="00BB4D4B"/>
    <w:rsid w:val="00BB4E3B"/>
    <w:rsid w:val="00BB6278"/>
    <w:rsid w:val="00BB666D"/>
    <w:rsid w:val="00BC0B2E"/>
    <w:rsid w:val="00BC2CEB"/>
    <w:rsid w:val="00BC3222"/>
    <w:rsid w:val="00BC494C"/>
    <w:rsid w:val="00BC640B"/>
    <w:rsid w:val="00BC6C34"/>
    <w:rsid w:val="00BC7DC6"/>
    <w:rsid w:val="00BC7DD4"/>
    <w:rsid w:val="00BD0247"/>
    <w:rsid w:val="00BD0371"/>
    <w:rsid w:val="00BD076C"/>
    <w:rsid w:val="00BD1418"/>
    <w:rsid w:val="00BD163F"/>
    <w:rsid w:val="00BD1A3D"/>
    <w:rsid w:val="00BD2529"/>
    <w:rsid w:val="00BD4AE2"/>
    <w:rsid w:val="00BD6095"/>
    <w:rsid w:val="00BD6A0C"/>
    <w:rsid w:val="00BE10B6"/>
    <w:rsid w:val="00BE183C"/>
    <w:rsid w:val="00BE1ABF"/>
    <w:rsid w:val="00BE1C0E"/>
    <w:rsid w:val="00BE3152"/>
    <w:rsid w:val="00BE4956"/>
    <w:rsid w:val="00BE4BAC"/>
    <w:rsid w:val="00BE4EC3"/>
    <w:rsid w:val="00BE5367"/>
    <w:rsid w:val="00BE5912"/>
    <w:rsid w:val="00BE5DE6"/>
    <w:rsid w:val="00BF00E5"/>
    <w:rsid w:val="00BF0868"/>
    <w:rsid w:val="00BF165D"/>
    <w:rsid w:val="00BF1D6F"/>
    <w:rsid w:val="00BF23A3"/>
    <w:rsid w:val="00BF2693"/>
    <w:rsid w:val="00BF2F9A"/>
    <w:rsid w:val="00BF3506"/>
    <w:rsid w:val="00BF506A"/>
    <w:rsid w:val="00BF5D04"/>
    <w:rsid w:val="00BF5E23"/>
    <w:rsid w:val="00BF5FE7"/>
    <w:rsid w:val="00BF73E7"/>
    <w:rsid w:val="00C0041D"/>
    <w:rsid w:val="00C026EA"/>
    <w:rsid w:val="00C028D3"/>
    <w:rsid w:val="00C03480"/>
    <w:rsid w:val="00C03DF9"/>
    <w:rsid w:val="00C04640"/>
    <w:rsid w:val="00C05319"/>
    <w:rsid w:val="00C05D53"/>
    <w:rsid w:val="00C07CBF"/>
    <w:rsid w:val="00C1111C"/>
    <w:rsid w:val="00C114BD"/>
    <w:rsid w:val="00C12968"/>
    <w:rsid w:val="00C129FB"/>
    <w:rsid w:val="00C12C14"/>
    <w:rsid w:val="00C13537"/>
    <w:rsid w:val="00C14388"/>
    <w:rsid w:val="00C14C12"/>
    <w:rsid w:val="00C14C7F"/>
    <w:rsid w:val="00C155CE"/>
    <w:rsid w:val="00C1612E"/>
    <w:rsid w:val="00C1636C"/>
    <w:rsid w:val="00C1644F"/>
    <w:rsid w:val="00C17868"/>
    <w:rsid w:val="00C17C83"/>
    <w:rsid w:val="00C17F94"/>
    <w:rsid w:val="00C21E63"/>
    <w:rsid w:val="00C23670"/>
    <w:rsid w:val="00C23C67"/>
    <w:rsid w:val="00C24EF9"/>
    <w:rsid w:val="00C25419"/>
    <w:rsid w:val="00C26EE7"/>
    <w:rsid w:val="00C275E9"/>
    <w:rsid w:val="00C31C0B"/>
    <w:rsid w:val="00C32F28"/>
    <w:rsid w:val="00C3315C"/>
    <w:rsid w:val="00C33C05"/>
    <w:rsid w:val="00C36233"/>
    <w:rsid w:val="00C3796A"/>
    <w:rsid w:val="00C40C81"/>
    <w:rsid w:val="00C417E0"/>
    <w:rsid w:val="00C434CC"/>
    <w:rsid w:val="00C44EAD"/>
    <w:rsid w:val="00C458EA"/>
    <w:rsid w:val="00C45B37"/>
    <w:rsid w:val="00C47757"/>
    <w:rsid w:val="00C47881"/>
    <w:rsid w:val="00C47AF3"/>
    <w:rsid w:val="00C47B0B"/>
    <w:rsid w:val="00C47B1E"/>
    <w:rsid w:val="00C50BCF"/>
    <w:rsid w:val="00C51A13"/>
    <w:rsid w:val="00C522C0"/>
    <w:rsid w:val="00C52CFD"/>
    <w:rsid w:val="00C554A9"/>
    <w:rsid w:val="00C602C1"/>
    <w:rsid w:val="00C60F43"/>
    <w:rsid w:val="00C616F0"/>
    <w:rsid w:val="00C617D6"/>
    <w:rsid w:val="00C6186E"/>
    <w:rsid w:val="00C62405"/>
    <w:rsid w:val="00C62EA0"/>
    <w:rsid w:val="00C631D2"/>
    <w:rsid w:val="00C6412B"/>
    <w:rsid w:val="00C64274"/>
    <w:rsid w:val="00C64CB3"/>
    <w:rsid w:val="00C653CC"/>
    <w:rsid w:val="00C65E76"/>
    <w:rsid w:val="00C66112"/>
    <w:rsid w:val="00C676A0"/>
    <w:rsid w:val="00C676A4"/>
    <w:rsid w:val="00C732C0"/>
    <w:rsid w:val="00C74129"/>
    <w:rsid w:val="00C75BEE"/>
    <w:rsid w:val="00C8197F"/>
    <w:rsid w:val="00C81D23"/>
    <w:rsid w:val="00C82216"/>
    <w:rsid w:val="00C84784"/>
    <w:rsid w:val="00C84803"/>
    <w:rsid w:val="00C8554A"/>
    <w:rsid w:val="00C85842"/>
    <w:rsid w:val="00C859A3"/>
    <w:rsid w:val="00C85CDF"/>
    <w:rsid w:val="00C86A4F"/>
    <w:rsid w:val="00C86D4E"/>
    <w:rsid w:val="00C87BDE"/>
    <w:rsid w:val="00C9253F"/>
    <w:rsid w:val="00C943A6"/>
    <w:rsid w:val="00C947EE"/>
    <w:rsid w:val="00C95FD7"/>
    <w:rsid w:val="00C96473"/>
    <w:rsid w:val="00CA0442"/>
    <w:rsid w:val="00CA06EF"/>
    <w:rsid w:val="00CA0755"/>
    <w:rsid w:val="00CA139B"/>
    <w:rsid w:val="00CA1980"/>
    <w:rsid w:val="00CA1F7A"/>
    <w:rsid w:val="00CA1F93"/>
    <w:rsid w:val="00CA2749"/>
    <w:rsid w:val="00CA3B05"/>
    <w:rsid w:val="00CA3D40"/>
    <w:rsid w:val="00CA5A09"/>
    <w:rsid w:val="00CA6AB6"/>
    <w:rsid w:val="00CB0BAE"/>
    <w:rsid w:val="00CB21DD"/>
    <w:rsid w:val="00CB22BC"/>
    <w:rsid w:val="00CB44D0"/>
    <w:rsid w:val="00CB47E4"/>
    <w:rsid w:val="00CB49B8"/>
    <w:rsid w:val="00CB4CB2"/>
    <w:rsid w:val="00CB519C"/>
    <w:rsid w:val="00CB5CAC"/>
    <w:rsid w:val="00CB6023"/>
    <w:rsid w:val="00CB6241"/>
    <w:rsid w:val="00CB70A3"/>
    <w:rsid w:val="00CC0115"/>
    <w:rsid w:val="00CC0543"/>
    <w:rsid w:val="00CC097A"/>
    <w:rsid w:val="00CC0D43"/>
    <w:rsid w:val="00CC12DA"/>
    <w:rsid w:val="00CC152D"/>
    <w:rsid w:val="00CC3006"/>
    <w:rsid w:val="00CC30F5"/>
    <w:rsid w:val="00CC4BA0"/>
    <w:rsid w:val="00CC5E9A"/>
    <w:rsid w:val="00CC69EE"/>
    <w:rsid w:val="00CC6C0D"/>
    <w:rsid w:val="00CC7169"/>
    <w:rsid w:val="00CC7E8F"/>
    <w:rsid w:val="00CD2F9A"/>
    <w:rsid w:val="00CD35B6"/>
    <w:rsid w:val="00CD3D22"/>
    <w:rsid w:val="00CD4D7C"/>
    <w:rsid w:val="00CD5960"/>
    <w:rsid w:val="00CD7BF4"/>
    <w:rsid w:val="00CE0465"/>
    <w:rsid w:val="00CE0879"/>
    <w:rsid w:val="00CE1B28"/>
    <w:rsid w:val="00CE1DB3"/>
    <w:rsid w:val="00CE3013"/>
    <w:rsid w:val="00CE3769"/>
    <w:rsid w:val="00CE399E"/>
    <w:rsid w:val="00CE3B84"/>
    <w:rsid w:val="00CE4211"/>
    <w:rsid w:val="00CE501C"/>
    <w:rsid w:val="00CE5339"/>
    <w:rsid w:val="00CE58FD"/>
    <w:rsid w:val="00CE5C9B"/>
    <w:rsid w:val="00CE69AC"/>
    <w:rsid w:val="00CE71CB"/>
    <w:rsid w:val="00CE7255"/>
    <w:rsid w:val="00CE7A96"/>
    <w:rsid w:val="00CE7EA1"/>
    <w:rsid w:val="00CF0132"/>
    <w:rsid w:val="00CF04E3"/>
    <w:rsid w:val="00CF056E"/>
    <w:rsid w:val="00CF173A"/>
    <w:rsid w:val="00CF211A"/>
    <w:rsid w:val="00CF265E"/>
    <w:rsid w:val="00CF30FC"/>
    <w:rsid w:val="00CF747F"/>
    <w:rsid w:val="00D00ED8"/>
    <w:rsid w:val="00D016FC"/>
    <w:rsid w:val="00D0356A"/>
    <w:rsid w:val="00D035DD"/>
    <w:rsid w:val="00D03C4E"/>
    <w:rsid w:val="00D03C9F"/>
    <w:rsid w:val="00D05D56"/>
    <w:rsid w:val="00D0658F"/>
    <w:rsid w:val="00D104D0"/>
    <w:rsid w:val="00D10E9B"/>
    <w:rsid w:val="00D1135D"/>
    <w:rsid w:val="00D1159C"/>
    <w:rsid w:val="00D115DF"/>
    <w:rsid w:val="00D15750"/>
    <w:rsid w:val="00D16852"/>
    <w:rsid w:val="00D16C46"/>
    <w:rsid w:val="00D16F01"/>
    <w:rsid w:val="00D175B5"/>
    <w:rsid w:val="00D217E0"/>
    <w:rsid w:val="00D21E26"/>
    <w:rsid w:val="00D23134"/>
    <w:rsid w:val="00D2446A"/>
    <w:rsid w:val="00D246E5"/>
    <w:rsid w:val="00D263D0"/>
    <w:rsid w:val="00D26DC5"/>
    <w:rsid w:val="00D275FA"/>
    <w:rsid w:val="00D30939"/>
    <w:rsid w:val="00D30BA3"/>
    <w:rsid w:val="00D311A3"/>
    <w:rsid w:val="00D31299"/>
    <w:rsid w:val="00D318A1"/>
    <w:rsid w:val="00D320B5"/>
    <w:rsid w:val="00D33E27"/>
    <w:rsid w:val="00D34671"/>
    <w:rsid w:val="00D34B99"/>
    <w:rsid w:val="00D34DA3"/>
    <w:rsid w:val="00D354BB"/>
    <w:rsid w:val="00D402C5"/>
    <w:rsid w:val="00D4459F"/>
    <w:rsid w:val="00D47718"/>
    <w:rsid w:val="00D47DE7"/>
    <w:rsid w:val="00D50EE4"/>
    <w:rsid w:val="00D51CA3"/>
    <w:rsid w:val="00D52091"/>
    <w:rsid w:val="00D520D0"/>
    <w:rsid w:val="00D5252C"/>
    <w:rsid w:val="00D526B5"/>
    <w:rsid w:val="00D52A95"/>
    <w:rsid w:val="00D52B4E"/>
    <w:rsid w:val="00D52F2E"/>
    <w:rsid w:val="00D536F1"/>
    <w:rsid w:val="00D53A72"/>
    <w:rsid w:val="00D547C9"/>
    <w:rsid w:val="00D5505C"/>
    <w:rsid w:val="00D563A1"/>
    <w:rsid w:val="00D563D3"/>
    <w:rsid w:val="00D568E9"/>
    <w:rsid w:val="00D569E0"/>
    <w:rsid w:val="00D56C14"/>
    <w:rsid w:val="00D57417"/>
    <w:rsid w:val="00D5755A"/>
    <w:rsid w:val="00D60E80"/>
    <w:rsid w:val="00D62A11"/>
    <w:rsid w:val="00D62F52"/>
    <w:rsid w:val="00D63953"/>
    <w:rsid w:val="00D65CB1"/>
    <w:rsid w:val="00D700D3"/>
    <w:rsid w:val="00D74FBB"/>
    <w:rsid w:val="00D75392"/>
    <w:rsid w:val="00D76776"/>
    <w:rsid w:val="00D779C7"/>
    <w:rsid w:val="00D8043F"/>
    <w:rsid w:val="00D807EA"/>
    <w:rsid w:val="00D81BA1"/>
    <w:rsid w:val="00D82C98"/>
    <w:rsid w:val="00D833D3"/>
    <w:rsid w:val="00D83683"/>
    <w:rsid w:val="00D838A5"/>
    <w:rsid w:val="00D83DB8"/>
    <w:rsid w:val="00D84633"/>
    <w:rsid w:val="00D8494A"/>
    <w:rsid w:val="00D86368"/>
    <w:rsid w:val="00D8659A"/>
    <w:rsid w:val="00D87D74"/>
    <w:rsid w:val="00D90027"/>
    <w:rsid w:val="00D90121"/>
    <w:rsid w:val="00D90E37"/>
    <w:rsid w:val="00D914DC"/>
    <w:rsid w:val="00D92647"/>
    <w:rsid w:val="00D93349"/>
    <w:rsid w:val="00D9394E"/>
    <w:rsid w:val="00D940F4"/>
    <w:rsid w:val="00D95246"/>
    <w:rsid w:val="00D956C9"/>
    <w:rsid w:val="00D95E6B"/>
    <w:rsid w:val="00D96EF7"/>
    <w:rsid w:val="00D9710E"/>
    <w:rsid w:val="00DA0366"/>
    <w:rsid w:val="00DA0432"/>
    <w:rsid w:val="00DA06A8"/>
    <w:rsid w:val="00DA0933"/>
    <w:rsid w:val="00DA12F0"/>
    <w:rsid w:val="00DA316D"/>
    <w:rsid w:val="00DA4DC6"/>
    <w:rsid w:val="00DA555D"/>
    <w:rsid w:val="00DA5A59"/>
    <w:rsid w:val="00DA6605"/>
    <w:rsid w:val="00DA69A1"/>
    <w:rsid w:val="00DA6DA0"/>
    <w:rsid w:val="00DB080A"/>
    <w:rsid w:val="00DB081E"/>
    <w:rsid w:val="00DB16F5"/>
    <w:rsid w:val="00DB1752"/>
    <w:rsid w:val="00DB3894"/>
    <w:rsid w:val="00DB3C98"/>
    <w:rsid w:val="00DB43F4"/>
    <w:rsid w:val="00DB4ADD"/>
    <w:rsid w:val="00DB531B"/>
    <w:rsid w:val="00DB53DA"/>
    <w:rsid w:val="00DB70E5"/>
    <w:rsid w:val="00DC0A0C"/>
    <w:rsid w:val="00DC0F03"/>
    <w:rsid w:val="00DC19BF"/>
    <w:rsid w:val="00DC1A8F"/>
    <w:rsid w:val="00DC243A"/>
    <w:rsid w:val="00DC267B"/>
    <w:rsid w:val="00DC4787"/>
    <w:rsid w:val="00DC4E41"/>
    <w:rsid w:val="00DC525F"/>
    <w:rsid w:val="00DC52EE"/>
    <w:rsid w:val="00DC57F9"/>
    <w:rsid w:val="00DC71A7"/>
    <w:rsid w:val="00DD255F"/>
    <w:rsid w:val="00DD25D2"/>
    <w:rsid w:val="00DD3E8C"/>
    <w:rsid w:val="00DD42C9"/>
    <w:rsid w:val="00DD4493"/>
    <w:rsid w:val="00DD54DC"/>
    <w:rsid w:val="00DD5894"/>
    <w:rsid w:val="00DD7C10"/>
    <w:rsid w:val="00DE0DD9"/>
    <w:rsid w:val="00DE19B6"/>
    <w:rsid w:val="00DE33E9"/>
    <w:rsid w:val="00DE3AEF"/>
    <w:rsid w:val="00DE4959"/>
    <w:rsid w:val="00DE4C10"/>
    <w:rsid w:val="00DE4C6E"/>
    <w:rsid w:val="00DE4F0F"/>
    <w:rsid w:val="00DE5252"/>
    <w:rsid w:val="00DE5709"/>
    <w:rsid w:val="00DE5D17"/>
    <w:rsid w:val="00DE6292"/>
    <w:rsid w:val="00DE68E1"/>
    <w:rsid w:val="00DE7132"/>
    <w:rsid w:val="00DF0B12"/>
    <w:rsid w:val="00DF0C3E"/>
    <w:rsid w:val="00DF2F9E"/>
    <w:rsid w:val="00DF34A1"/>
    <w:rsid w:val="00DF3852"/>
    <w:rsid w:val="00DF4C6F"/>
    <w:rsid w:val="00DF4D9D"/>
    <w:rsid w:val="00DF655A"/>
    <w:rsid w:val="00DF7A15"/>
    <w:rsid w:val="00DF7A43"/>
    <w:rsid w:val="00E0021D"/>
    <w:rsid w:val="00E01ADF"/>
    <w:rsid w:val="00E03E47"/>
    <w:rsid w:val="00E044B0"/>
    <w:rsid w:val="00E06172"/>
    <w:rsid w:val="00E066AB"/>
    <w:rsid w:val="00E13420"/>
    <w:rsid w:val="00E134FF"/>
    <w:rsid w:val="00E13E7F"/>
    <w:rsid w:val="00E15182"/>
    <w:rsid w:val="00E157D1"/>
    <w:rsid w:val="00E16442"/>
    <w:rsid w:val="00E17023"/>
    <w:rsid w:val="00E17A74"/>
    <w:rsid w:val="00E17FB5"/>
    <w:rsid w:val="00E2110E"/>
    <w:rsid w:val="00E216F6"/>
    <w:rsid w:val="00E23B5D"/>
    <w:rsid w:val="00E23D37"/>
    <w:rsid w:val="00E25D24"/>
    <w:rsid w:val="00E262BB"/>
    <w:rsid w:val="00E270E8"/>
    <w:rsid w:val="00E30AED"/>
    <w:rsid w:val="00E30E0E"/>
    <w:rsid w:val="00E31F28"/>
    <w:rsid w:val="00E32027"/>
    <w:rsid w:val="00E32715"/>
    <w:rsid w:val="00E33B2F"/>
    <w:rsid w:val="00E33D7D"/>
    <w:rsid w:val="00E360C6"/>
    <w:rsid w:val="00E36626"/>
    <w:rsid w:val="00E400D2"/>
    <w:rsid w:val="00E4033A"/>
    <w:rsid w:val="00E4098A"/>
    <w:rsid w:val="00E418B2"/>
    <w:rsid w:val="00E41EEC"/>
    <w:rsid w:val="00E43E98"/>
    <w:rsid w:val="00E45C9E"/>
    <w:rsid w:val="00E478D7"/>
    <w:rsid w:val="00E5001B"/>
    <w:rsid w:val="00E50836"/>
    <w:rsid w:val="00E51B98"/>
    <w:rsid w:val="00E52C1A"/>
    <w:rsid w:val="00E5429B"/>
    <w:rsid w:val="00E544DB"/>
    <w:rsid w:val="00E5453D"/>
    <w:rsid w:val="00E54D80"/>
    <w:rsid w:val="00E54F2C"/>
    <w:rsid w:val="00E56249"/>
    <w:rsid w:val="00E56D65"/>
    <w:rsid w:val="00E578F0"/>
    <w:rsid w:val="00E60994"/>
    <w:rsid w:val="00E61009"/>
    <w:rsid w:val="00E61C2B"/>
    <w:rsid w:val="00E631AA"/>
    <w:rsid w:val="00E639B3"/>
    <w:rsid w:val="00E65128"/>
    <w:rsid w:val="00E65192"/>
    <w:rsid w:val="00E659BE"/>
    <w:rsid w:val="00E66302"/>
    <w:rsid w:val="00E664B6"/>
    <w:rsid w:val="00E67E3D"/>
    <w:rsid w:val="00E711B0"/>
    <w:rsid w:val="00E718D9"/>
    <w:rsid w:val="00E71CA5"/>
    <w:rsid w:val="00E71EAE"/>
    <w:rsid w:val="00E72A85"/>
    <w:rsid w:val="00E73CEE"/>
    <w:rsid w:val="00E73DFD"/>
    <w:rsid w:val="00E73EE6"/>
    <w:rsid w:val="00E74035"/>
    <w:rsid w:val="00E744BF"/>
    <w:rsid w:val="00E74521"/>
    <w:rsid w:val="00E75F05"/>
    <w:rsid w:val="00E75F09"/>
    <w:rsid w:val="00E769E7"/>
    <w:rsid w:val="00E774A0"/>
    <w:rsid w:val="00E7773B"/>
    <w:rsid w:val="00E778B8"/>
    <w:rsid w:val="00E778DF"/>
    <w:rsid w:val="00E77F12"/>
    <w:rsid w:val="00E81567"/>
    <w:rsid w:val="00E82F26"/>
    <w:rsid w:val="00E83486"/>
    <w:rsid w:val="00E835E1"/>
    <w:rsid w:val="00E8732A"/>
    <w:rsid w:val="00E878B7"/>
    <w:rsid w:val="00E87AAB"/>
    <w:rsid w:val="00E9133E"/>
    <w:rsid w:val="00E927AE"/>
    <w:rsid w:val="00E92F9A"/>
    <w:rsid w:val="00E9428E"/>
    <w:rsid w:val="00E9535C"/>
    <w:rsid w:val="00E955A4"/>
    <w:rsid w:val="00E963C4"/>
    <w:rsid w:val="00E972BC"/>
    <w:rsid w:val="00E97304"/>
    <w:rsid w:val="00E97ABF"/>
    <w:rsid w:val="00EA0C46"/>
    <w:rsid w:val="00EA1695"/>
    <w:rsid w:val="00EA3751"/>
    <w:rsid w:val="00EA4A37"/>
    <w:rsid w:val="00EA61A1"/>
    <w:rsid w:val="00EA6336"/>
    <w:rsid w:val="00EA65A7"/>
    <w:rsid w:val="00EA6736"/>
    <w:rsid w:val="00EA799B"/>
    <w:rsid w:val="00EA7F77"/>
    <w:rsid w:val="00EB0BD5"/>
    <w:rsid w:val="00EB153B"/>
    <w:rsid w:val="00EB198A"/>
    <w:rsid w:val="00EB1CA3"/>
    <w:rsid w:val="00EB1D1A"/>
    <w:rsid w:val="00EB2C29"/>
    <w:rsid w:val="00EB5F85"/>
    <w:rsid w:val="00EB6C3A"/>
    <w:rsid w:val="00EB7AC4"/>
    <w:rsid w:val="00EB7BDA"/>
    <w:rsid w:val="00EC19A6"/>
    <w:rsid w:val="00EC1D40"/>
    <w:rsid w:val="00EC2863"/>
    <w:rsid w:val="00EC343D"/>
    <w:rsid w:val="00EC397C"/>
    <w:rsid w:val="00EC3AAC"/>
    <w:rsid w:val="00EC4F66"/>
    <w:rsid w:val="00EC50FD"/>
    <w:rsid w:val="00ED004E"/>
    <w:rsid w:val="00ED186E"/>
    <w:rsid w:val="00ED1B8B"/>
    <w:rsid w:val="00ED39B9"/>
    <w:rsid w:val="00ED4327"/>
    <w:rsid w:val="00ED5139"/>
    <w:rsid w:val="00ED557C"/>
    <w:rsid w:val="00ED5734"/>
    <w:rsid w:val="00ED7082"/>
    <w:rsid w:val="00ED780F"/>
    <w:rsid w:val="00EE18B6"/>
    <w:rsid w:val="00EE1CF7"/>
    <w:rsid w:val="00EE34C7"/>
    <w:rsid w:val="00EE59C6"/>
    <w:rsid w:val="00EE67FB"/>
    <w:rsid w:val="00EE6CE9"/>
    <w:rsid w:val="00EE6FAC"/>
    <w:rsid w:val="00EE77A8"/>
    <w:rsid w:val="00EE7B13"/>
    <w:rsid w:val="00EE7D93"/>
    <w:rsid w:val="00EF02AA"/>
    <w:rsid w:val="00EF0EF9"/>
    <w:rsid w:val="00EF1B9B"/>
    <w:rsid w:val="00EF20ED"/>
    <w:rsid w:val="00EF22AD"/>
    <w:rsid w:val="00EF2CEC"/>
    <w:rsid w:val="00EF3F19"/>
    <w:rsid w:val="00EF5390"/>
    <w:rsid w:val="00EF7021"/>
    <w:rsid w:val="00F008CC"/>
    <w:rsid w:val="00F04937"/>
    <w:rsid w:val="00F05E19"/>
    <w:rsid w:val="00F0689C"/>
    <w:rsid w:val="00F06F24"/>
    <w:rsid w:val="00F06F56"/>
    <w:rsid w:val="00F10885"/>
    <w:rsid w:val="00F13470"/>
    <w:rsid w:val="00F1581B"/>
    <w:rsid w:val="00F1717D"/>
    <w:rsid w:val="00F20EDD"/>
    <w:rsid w:val="00F21ECC"/>
    <w:rsid w:val="00F237D1"/>
    <w:rsid w:val="00F23DA3"/>
    <w:rsid w:val="00F24A58"/>
    <w:rsid w:val="00F24E28"/>
    <w:rsid w:val="00F25340"/>
    <w:rsid w:val="00F2613F"/>
    <w:rsid w:val="00F27A99"/>
    <w:rsid w:val="00F30688"/>
    <w:rsid w:val="00F31402"/>
    <w:rsid w:val="00F31836"/>
    <w:rsid w:val="00F31F7B"/>
    <w:rsid w:val="00F322B3"/>
    <w:rsid w:val="00F334A0"/>
    <w:rsid w:val="00F33665"/>
    <w:rsid w:val="00F33B02"/>
    <w:rsid w:val="00F33C97"/>
    <w:rsid w:val="00F348C1"/>
    <w:rsid w:val="00F35438"/>
    <w:rsid w:val="00F35B1F"/>
    <w:rsid w:val="00F36D98"/>
    <w:rsid w:val="00F37067"/>
    <w:rsid w:val="00F37BF9"/>
    <w:rsid w:val="00F40612"/>
    <w:rsid w:val="00F40C2C"/>
    <w:rsid w:val="00F419D4"/>
    <w:rsid w:val="00F43088"/>
    <w:rsid w:val="00F435F0"/>
    <w:rsid w:val="00F43BF9"/>
    <w:rsid w:val="00F444E5"/>
    <w:rsid w:val="00F44539"/>
    <w:rsid w:val="00F47C00"/>
    <w:rsid w:val="00F5076A"/>
    <w:rsid w:val="00F51790"/>
    <w:rsid w:val="00F52116"/>
    <w:rsid w:val="00F5360E"/>
    <w:rsid w:val="00F53EC6"/>
    <w:rsid w:val="00F554D5"/>
    <w:rsid w:val="00F55610"/>
    <w:rsid w:val="00F55EA4"/>
    <w:rsid w:val="00F562D7"/>
    <w:rsid w:val="00F56F6D"/>
    <w:rsid w:val="00F60182"/>
    <w:rsid w:val="00F6137B"/>
    <w:rsid w:val="00F619E7"/>
    <w:rsid w:val="00F63877"/>
    <w:rsid w:val="00F654F7"/>
    <w:rsid w:val="00F65801"/>
    <w:rsid w:val="00F66544"/>
    <w:rsid w:val="00F67E01"/>
    <w:rsid w:val="00F70363"/>
    <w:rsid w:val="00F713D8"/>
    <w:rsid w:val="00F7176D"/>
    <w:rsid w:val="00F72684"/>
    <w:rsid w:val="00F72886"/>
    <w:rsid w:val="00F76851"/>
    <w:rsid w:val="00F769DE"/>
    <w:rsid w:val="00F7748D"/>
    <w:rsid w:val="00F80C4D"/>
    <w:rsid w:val="00F81B89"/>
    <w:rsid w:val="00F82A36"/>
    <w:rsid w:val="00F83BB5"/>
    <w:rsid w:val="00F84184"/>
    <w:rsid w:val="00F84870"/>
    <w:rsid w:val="00F84A3C"/>
    <w:rsid w:val="00F865D2"/>
    <w:rsid w:val="00F86BB4"/>
    <w:rsid w:val="00F90FFB"/>
    <w:rsid w:val="00F910D7"/>
    <w:rsid w:val="00F9155A"/>
    <w:rsid w:val="00F91FBD"/>
    <w:rsid w:val="00F923AC"/>
    <w:rsid w:val="00F930C7"/>
    <w:rsid w:val="00F93C6A"/>
    <w:rsid w:val="00F94193"/>
    <w:rsid w:val="00F948C0"/>
    <w:rsid w:val="00F94D95"/>
    <w:rsid w:val="00F94E78"/>
    <w:rsid w:val="00F95394"/>
    <w:rsid w:val="00FA0A21"/>
    <w:rsid w:val="00FA1874"/>
    <w:rsid w:val="00FA1C3C"/>
    <w:rsid w:val="00FA2E1C"/>
    <w:rsid w:val="00FA343D"/>
    <w:rsid w:val="00FA4450"/>
    <w:rsid w:val="00FA6611"/>
    <w:rsid w:val="00FA7C59"/>
    <w:rsid w:val="00FA7E6B"/>
    <w:rsid w:val="00FA7FBC"/>
    <w:rsid w:val="00FB0E62"/>
    <w:rsid w:val="00FB0F52"/>
    <w:rsid w:val="00FB2CDE"/>
    <w:rsid w:val="00FB36EA"/>
    <w:rsid w:val="00FB3CFA"/>
    <w:rsid w:val="00FB3E9A"/>
    <w:rsid w:val="00FB486A"/>
    <w:rsid w:val="00FB5D08"/>
    <w:rsid w:val="00FB6992"/>
    <w:rsid w:val="00FB7110"/>
    <w:rsid w:val="00FC4DCB"/>
    <w:rsid w:val="00FC54EB"/>
    <w:rsid w:val="00FC6C50"/>
    <w:rsid w:val="00FC71BB"/>
    <w:rsid w:val="00FD0354"/>
    <w:rsid w:val="00FD1509"/>
    <w:rsid w:val="00FD15AD"/>
    <w:rsid w:val="00FD27CE"/>
    <w:rsid w:val="00FD289E"/>
    <w:rsid w:val="00FD2CAF"/>
    <w:rsid w:val="00FD54D7"/>
    <w:rsid w:val="00FD5FF6"/>
    <w:rsid w:val="00FD66B4"/>
    <w:rsid w:val="00FD707B"/>
    <w:rsid w:val="00FE0D16"/>
    <w:rsid w:val="00FE16AB"/>
    <w:rsid w:val="00FE1831"/>
    <w:rsid w:val="00FE22A3"/>
    <w:rsid w:val="00FE3262"/>
    <w:rsid w:val="00FE39E4"/>
    <w:rsid w:val="00FE428B"/>
    <w:rsid w:val="00FE4469"/>
    <w:rsid w:val="00FE58EB"/>
    <w:rsid w:val="00FE7B39"/>
    <w:rsid w:val="00FF073D"/>
    <w:rsid w:val="00FF126C"/>
    <w:rsid w:val="00FF2665"/>
    <w:rsid w:val="00FF2EAA"/>
    <w:rsid w:val="00FF3796"/>
    <w:rsid w:val="00FF3D43"/>
    <w:rsid w:val="00FF3E34"/>
    <w:rsid w:val="00FF44AB"/>
    <w:rsid w:val="00FF4A3C"/>
    <w:rsid w:val="00FF56B2"/>
    <w:rsid w:val="00FF591A"/>
    <w:rsid w:val="00FF5D1A"/>
    <w:rsid w:val="00FF5ECC"/>
    <w:rsid w:val="00FF60FB"/>
    <w:rsid w:val="00FF625E"/>
    <w:rsid w:val="00FF6282"/>
    <w:rsid w:val="00FF7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ru v:ext="edit" colors="#cfc"/>
    </o:shapedefaults>
    <o:shapelayout v:ext="edit">
      <o:idmap v:ext="edit" data="1"/>
    </o:shapelayout>
  </w:shapeDefaults>
  <w:decimalSymbol w:val=","/>
  <w:listSeparator w:val=";"/>
  <w15:docId w15:val="{8CEAA12F-1950-46E9-9F63-A717E98F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4E42"/>
    <w:pPr>
      <w:spacing w:after="200" w:line="276" w:lineRule="auto"/>
    </w:pPr>
    <w:rPr>
      <w:sz w:val="22"/>
      <w:szCs w:val="22"/>
    </w:rPr>
  </w:style>
  <w:style w:type="paragraph" w:styleId="1">
    <w:name w:val="heading 1"/>
    <w:basedOn w:val="a"/>
    <w:link w:val="10"/>
    <w:autoRedefine/>
    <w:uiPriority w:val="99"/>
    <w:qFormat/>
    <w:rsid w:val="002E7BC6"/>
    <w:pPr>
      <w:tabs>
        <w:tab w:val="left" w:pos="426"/>
      </w:tabs>
      <w:spacing w:after="0" w:line="240" w:lineRule="auto"/>
      <w:ind w:right="-83"/>
      <w:jc w:val="center"/>
      <w:outlineLvl w:val="0"/>
    </w:pPr>
    <w:rPr>
      <w:rFonts w:ascii="Times New Roman" w:hAnsi="Times New Roman"/>
      <w:b/>
      <w:bCs/>
      <w:color w:val="000000"/>
      <w:kern w:val="36"/>
      <w:sz w:val="28"/>
      <w:szCs w:val="28"/>
    </w:rPr>
  </w:style>
  <w:style w:type="paragraph" w:styleId="2">
    <w:name w:val="heading 2"/>
    <w:basedOn w:val="a"/>
    <w:next w:val="a"/>
    <w:link w:val="20"/>
    <w:uiPriority w:val="99"/>
    <w:qFormat/>
    <w:rsid w:val="00D50EE4"/>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F94D95"/>
    <w:pPr>
      <w:keepNext/>
      <w:spacing w:before="240" w:after="60" w:line="240" w:lineRule="auto"/>
      <w:outlineLvl w:val="2"/>
    </w:pPr>
    <w:rPr>
      <w:rFonts w:ascii="Times New Roman" w:hAnsi="Times New Roman"/>
      <w:b/>
      <w:bCs/>
      <w:i/>
      <w:sz w:val="28"/>
      <w:szCs w:val="28"/>
    </w:rPr>
  </w:style>
  <w:style w:type="paragraph" w:styleId="4">
    <w:name w:val="heading 4"/>
    <w:basedOn w:val="a"/>
    <w:next w:val="a"/>
    <w:link w:val="40"/>
    <w:unhideWhenUsed/>
    <w:qFormat/>
    <w:locked/>
    <w:rsid w:val="00795AD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BC6"/>
    <w:rPr>
      <w:rFonts w:ascii="Times New Roman" w:hAnsi="Times New Roman" w:cs="Times New Roman"/>
      <w:b/>
      <w:bCs/>
      <w:color w:val="000000"/>
      <w:kern w:val="36"/>
      <w:sz w:val="28"/>
      <w:szCs w:val="28"/>
      <w:lang w:eastAsia="ru-RU"/>
    </w:rPr>
  </w:style>
  <w:style w:type="character" w:customStyle="1" w:styleId="20">
    <w:name w:val="Заголовок 2 Знак"/>
    <w:link w:val="2"/>
    <w:uiPriority w:val="99"/>
    <w:semiHidden/>
    <w:locked/>
    <w:rsid w:val="00D50EE4"/>
    <w:rPr>
      <w:rFonts w:ascii="Cambria" w:hAnsi="Cambria" w:cs="Times New Roman"/>
      <w:b/>
      <w:bCs/>
      <w:color w:val="4F81BD"/>
      <w:sz w:val="26"/>
      <w:szCs w:val="26"/>
    </w:rPr>
  </w:style>
  <w:style w:type="character" w:customStyle="1" w:styleId="30">
    <w:name w:val="Заголовок 3 Знак"/>
    <w:link w:val="3"/>
    <w:uiPriority w:val="99"/>
    <w:locked/>
    <w:rsid w:val="00F94D95"/>
    <w:rPr>
      <w:rFonts w:ascii="Times New Roman" w:hAnsi="Times New Roman" w:cs="Arial"/>
      <w:b/>
      <w:bCs/>
      <w:i/>
      <w:sz w:val="28"/>
      <w:szCs w:val="28"/>
      <w:lang w:eastAsia="ru-RU"/>
    </w:rPr>
  </w:style>
  <w:style w:type="paragraph" w:styleId="a3">
    <w:name w:val="header"/>
    <w:basedOn w:val="a"/>
    <w:link w:val="a4"/>
    <w:uiPriority w:val="99"/>
    <w:rsid w:val="00E71EAE"/>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E71EAE"/>
    <w:rPr>
      <w:rFonts w:cs="Times New Roman"/>
    </w:rPr>
  </w:style>
  <w:style w:type="paragraph" w:styleId="a5">
    <w:name w:val="footer"/>
    <w:basedOn w:val="a"/>
    <w:link w:val="a6"/>
    <w:uiPriority w:val="99"/>
    <w:semiHidden/>
    <w:rsid w:val="00E71EAE"/>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semiHidden/>
    <w:locked/>
    <w:rsid w:val="00E71EAE"/>
    <w:rPr>
      <w:rFonts w:cs="Times New Roman"/>
    </w:rPr>
  </w:style>
  <w:style w:type="paragraph" w:styleId="a7">
    <w:name w:val="List Paragraph"/>
    <w:basedOn w:val="a"/>
    <w:uiPriority w:val="34"/>
    <w:qFormat/>
    <w:rsid w:val="006B6110"/>
    <w:pPr>
      <w:ind w:left="720"/>
      <w:contextualSpacing/>
    </w:pPr>
  </w:style>
  <w:style w:type="character" w:customStyle="1" w:styleId="a8">
    <w:name w:val="Акты Знак"/>
    <w:link w:val="a9"/>
    <w:uiPriority w:val="99"/>
    <w:locked/>
    <w:rsid w:val="00F94D95"/>
    <w:rPr>
      <w:rFonts w:ascii="Lucida Sans Unicode" w:eastAsia="Times New Roman" w:hAnsi="Lucida Sans Unicode"/>
      <w:sz w:val="28"/>
    </w:rPr>
  </w:style>
  <w:style w:type="paragraph" w:customStyle="1" w:styleId="a9">
    <w:name w:val="Акты"/>
    <w:basedOn w:val="a"/>
    <w:link w:val="a8"/>
    <w:uiPriority w:val="99"/>
    <w:rsid w:val="00F94D95"/>
    <w:pPr>
      <w:suppressAutoHyphens/>
      <w:spacing w:after="0" w:line="240" w:lineRule="auto"/>
      <w:ind w:firstLine="709"/>
      <w:jc w:val="both"/>
    </w:pPr>
    <w:rPr>
      <w:rFonts w:ascii="Lucida Sans Unicode" w:hAnsi="Lucida Sans Unicode"/>
      <w:sz w:val="28"/>
      <w:szCs w:val="20"/>
    </w:rPr>
  </w:style>
  <w:style w:type="paragraph" w:customStyle="1" w:styleId="6">
    <w:name w:val="Акты 6 пт"/>
    <w:basedOn w:val="a9"/>
    <w:uiPriority w:val="99"/>
    <w:rsid w:val="00F94D95"/>
    <w:pPr>
      <w:spacing w:before="120"/>
    </w:pPr>
  </w:style>
  <w:style w:type="paragraph" w:customStyle="1" w:styleId="21">
    <w:name w:val="Основной текст 21"/>
    <w:basedOn w:val="a"/>
    <w:uiPriority w:val="99"/>
    <w:rsid w:val="00D50EE4"/>
    <w:pPr>
      <w:tabs>
        <w:tab w:val="left" w:pos="0"/>
      </w:tabs>
      <w:spacing w:after="0" w:line="240" w:lineRule="auto"/>
      <w:ind w:firstLine="720"/>
      <w:jc w:val="both"/>
    </w:pPr>
    <w:rPr>
      <w:rFonts w:ascii="Times New Roman" w:hAnsi="Times New Roman"/>
      <w:sz w:val="28"/>
      <w:szCs w:val="20"/>
    </w:rPr>
  </w:style>
  <w:style w:type="paragraph" w:styleId="aa">
    <w:name w:val="Balloon Text"/>
    <w:basedOn w:val="a"/>
    <w:link w:val="ab"/>
    <w:uiPriority w:val="99"/>
    <w:semiHidden/>
    <w:rsid w:val="002B399D"/>
    <w:pPr>
      <w:spacing w:after="0" w:line="240" w:lineRule="auto"/>
    </w:pPr>
    <w:rPr>
      <w:rFonts w:ascii="Tahoma" w:hAnsi="Tahoma"/>
      <w:sz w:val="16"/>
      <w:szCs w:val="16"/>
    </w:rPr>
  </w:style>
  <w:style w:type="character" w:customStyle="1" w:styleId="ab">
    <w:name w:val="Текст выноски Знак"/>
    <w:link w:val="aa"/>
    <w:uiPriority w:val="99"/>
    <w:semiHidden/>
    <w:locked/>
    <w:rsid w:val="002B399D"/>
    <w:rPr>
      <w:rFonts w:ascii="Tahoma" w:hAnsi="Tahoma" w:cs="Tahoma"/>
      <w:sz w:val="16"/>
      <w:szCs w:val="16"/>
    </w:rPr>
  </w:style>
  <w:style w:type="paragraph" w:styleId="ac">
    <w:name w:val="Title"/>
    <w:basedOn w:val="a"/>
    <w:link w:val="ad"/>
    <w:uiPriority w:val="99"/>
    <w:qFormat/>
    <w:rsid w:val="002B29A8"/>
    <w:pPr>
      <w:autoSpaceDE w:val="0"/>
      <w:autoSpaceDN w:val="0"/>
      <w:spacing w:after="0" w:line="240" w:lineRule="auto"/>
      <w:jc w:val="center"/>
    </w:pPr>
    <w:rPr>
      <w:rFonts w:ascii="Times New Roman" w:hAnsi="Times New Roman"/>
      <w:b/>
      <w:bCs/>
      <w:sz w:val="28"/>
      <w:szCs w:val="28"/>
    </w:rPr>
  </w:style>
  <w:style w:type="character" w:customStyle="1" w:styleId="ad">
    <w:name w:val="Заголовок Знак"/>
    <w:link w:val="ac"/>
    <w:uiPriority w:val="99"/>
    <w:locked/>
    <w:rsid w:val="002B29A8"/>
    <w:rPr>
      <w:rFonts w:ascii="Times New Roman" w:hAnsi="Times New Roman" w:cs="Times New Roman"/>
      <w:b/>
      <w:bCs/>
      <w:sz w:val="28"/>
      <w:szCs w:val="28"/>
      <w:lang w:eastAsia="ru-RU"/>
    </w:rPr>
  </w:style>
  <w:style w:type="paragraph" w:styleId="ae">
    <w:name w:val="Body Text"/>
    <w:basedOn w:val="a"/>
    <w:link w:val="af"/>
    <w:uiPriority w:val="99"/>
    <w:semiHidden/>
    <w:rsid w:val="00126BBD"/>
    <w:pPr>
      <w:widowControl w:val="0"/>
      <w:spacing w:after="0" w:line="240" w:lineRule="auto"/>
      <w:jc w:val="both"/>
    </w:pPr>
    <w:rPr>
      <w:rFonts w:ascii="Times New Roman" w:hAnsi="Times New Roman"/>
      <w:sz w:val="26"/>
      <w:szCs w:val="26"/>
    </w:rPr>
  </w:style>
  <w:style w:type="character" w:customStyle="1" w:styleId="af">
    <w:name w:val="Основной текст Знак"/>
    <w:link w:val="ae"/>
    <w:uiPriority w:val="99"/>
    <w:semiHidden/>
    <w:locked/>
    <w:rsid w:val="00126BBD"/>
    <w:rPr>
      <w:rFonts w:ascii="Times New Roman" w:hAnsi="Times New Roman" w:cs="Times New Roman"/>
      <w:sz w:val="26"/>
      <w:szCs w:val="26"/>
      <w:lang w:eastAsia="ru-RU"/>
    </w:rPr>
  </w:style>
  <w:style w:type="paragraph" w:styleId="af0">
    <w:name w:val="Body Text Indent"/>
    <w:basedOn w:val="a"/>
    <w:link w:val="af1"/>
    <w:uiPriority w:val="99"/>
    <w:semiHidden/>
    <w:rsid w:val="00126BBD"/>
    <w:pPr>
      <w:spacing w:after="120" w:line="240" w:lineRule="auto"/>
      <w:ind w:left="283"/>
    </w:pPr>
    <w:rPr>
      <w:rFonts w:ascii="Times New Roman" w:hAnsi="Times New Roman"/>
      <w:sz w:val="26"/>
      <w:szCs w:val="26"/>
    </w:rPr>
  </w:style>
  <w:style w:type="character" w:customStyle="1" w:styleId="af1">
    <w:name w:val="Основной текст с отступом Знак"/>
    <w:link w:val="af0"/>
    <w:uiPriority w:val="99"/>
    <w:semiHidden/>
    <w:locked/>
    <w:rsid w:val="00126BBD"/>
    <w:rPr>
      <w:rFonts w:ascii="Times New Roman" w:hAnsi="Times New Roman" w:cs="Times New Roman"/>
      <w:sz w:val="26"/>
      <w:szCs w:val="26"/>
      <w:lang w:eastAsia="ru-RU"/>
    </w:rPr>
  </w:style>
  <w:style w:type="paragraph" w:customStyle="1" w:styleId="ConsNormal">
    <w:name w:val="ConsNormal"/>
    <w:uiPriority w:val="99"/>
    <w:rsid w:val="00126BBD"/>
    <w:pPr>
      <w:widowControl w:val="0"/>
      <w:ind w:firstLine="720"/>
    </w:pPr>
    <w:rPr>
      <w:rFonts w:ascii="Consultant" w:hAnsi="Consultant"/>
    </w:rPr>
  </w:style>
  <w:style w:type="paragraph" w:styleId="af2">
    <w:name w:val="footnote text"/>
    <w:aliases w:val="Знак Знак Знак Знак Знак Знак Знак Знак Знак"/>
    <w:basedOn w:val="a"/>
    <w:link w:val="11"/>
    <w:qFormat/>
    <w:rsid w:val="00DD255F"/>
    <w:pPr>
      <w:suppressAutoHyphens/>
      <w:spacing w:after="0" w:line="240" w:lineRule="auto"/>
    </w:pPr>
    <w:rPr>
      <w:rFonts w:ascii="Times New Roman" w:hAnsi="Times New Roman"/>
      <w:sz w:val="20"/>
      <w:szCs w:val="20"/>
      <w:lang w:eastAsia="ar-SA"/>
    </w:rPr>
  </w:style>
  <w:style w:type="character" w:customStyle="1" w:styleId="11">
    <w:name w:val="Текст сноски Знак1"/>
    <w:aliases w:val="Знак Знак Знак Знак Знак Знак Знак Знак Знак Знак1"/>
    <w:link w:val="af2"/>
    <w:uiPriority w:val="99"/>
    <w:locked/>
    <w:rsid w:val="00DD255F"/>
    <w:rPr>
      <w:rFonts w:ascii="Times New Roman" w:hAnsi="Times New Roman"/>
      <w:sz w:val="20"/>
      <w:lang w:eastAsia="ar-SA" w:bidi="ar-SA"/>
    </w:rPr>
  </w:style>
  <w:style w:type="character" w:customStyle="1" w:styleId="af3">
    <w:name w:val="Текст сноски Знак"/>
    <w:aliases w:val="Знак Знак Знак Знак Знак Знак Знак Знак Знак Знак"/>
    <w:uiPriority w:val="99"/>
    <w:semiHidden/>
    <w:rsid w:val="00DD255F"/>
    <w:rPr>
      <w:rFonts w:cs="Times New Roman"/>
      <w:sz w:val="20"/>
      <w:szCs w:val="20"/>
    </w:rPr>
  </w:style>
  <w:style w:type="character" w:styleId="af4">
    <w:name w:val="footnote reference"/>
    <w:aliases w:val="текст сноски,анкета сноска,Знак сноски-FN,Ciae niinee-FN,Знак сноски 1,Ciae niinee 1"/>
    <w:uiPriority w:val="99"/>
    <w:rsid w:val="00DD255F"/>
    <w:rPr>
      <w:rFonts w:ascii="Times New Roman" w:hAnsi="Times New Roman" w:cs="Times New Roman"/>
      <w:vertAlign w:val="superscript"/>
    </w:rPr>
  </w:style>
  <w:style w:type="paragraph" w:customStyle="1" w:styleId="31">
    <w:name w:val="Основной текст3"/>
    <w:basedOn w:val="a"/>
    <w:uiPriority w:val="99"/>
    <w:rsid w:val="00F5076A"/>
    <w:pPr>
      <w:widowControl w:val="0"/>
      <w:shd w:val="clear" w:color="auto" w:fill="FFFFFF"/>
      <w:spacing w:before="180" w:after="60" w:line="322" w:lineRule="exact"/>
      <w:jc w:val="both"/>
    </w:pPr>
    <w:rPr>
      <w:rFonts w:ascii="Times New Roman" w:hAnsi="Times New Roman"/>
      <w:spacing w:val="1"/>
    </w:rPr>
  </w:style>
  <w:style w:type="character" w:customStyle="1" w:styleId="af5">
    <w:name w:val="Акт Знак"/>
    <w:link w:val="af6"/>
    <w:locked/>
    <w:rsid w:val="00322F5C"/>
    <w:rPr>
      <w:rFonts w:ascii="Times New Roman" w:hAnsi="Times New Roman"/>
      <w:sz w:val="26"/>
    </w:rPr>
  </w:style>
  <w:style w:type="paragraph" w:customStyle="1" w:styleId="af6">
    <w:name w:val="Акт"/>
    <w:basedOn w:val="a"/>
    <w:link w:val="af5"/>
    <w:qFormat/>
    <w:rsid w:val="00322F5C"/>
    <w:pPr>
      <w:suppressAutoHyphens/>
      <w:spacing w:after="0" w:line="240" w:lineRule="auto"/>
      <w:ind w:firstLine="709"/>
      <w:jc w:val="both"/>
    </w:pPr>
    <w:rPr>
      <w:rFonts w:ascii="Times New Roman" w:hAnsi="Times New Roman"/>
      <w:sz w:val="26"/>
      <w:szCs w:val="20"/>
    </w:rPr>
  </w:style>
  <w:style w:type="paragraph" w:customStyle="1" w:styleId="60">
    <w:name w:val="Акт 6 пт"/>
    <w:basedOn w:val="af6"/>
    <w:qFormat/>
    <w:rsid w:val="00145892"/>
    <w:pPr>
      <w:tabs>
        <w:tab w:val="left" w:pos="284"/>
      </w:tabs>
      <w:spacing w:before="120"/>
    </w:pPr>
  </w:style>
  <w:style w:type="character" w:customStyle="1" w:styleId="af7">
    <w:name w:val="Знак сноски нов"/>
    <w:uiPriority w:val="99"/>
    <w:rsid w:val="00145892"/>
    <w:rPr>
      <w:rFonts w:ascii="Times New Roman" w:hAnsi="Times New Roman"/>
      <w:color w:val="FF0000"/>
      <w:sz w:val="28"/>
      <w:u w:val="none"/>
      <w:effect w:val="none"/>
      <w:vertAlign w:val="superscript"/>
    </w:rPr>
  </w:style>
  <w:style w:type="character" w:styleId="af8">
    <w:name w:val="Hyperlink"/>
    <w:uiPriority w:val="99"/>
    <w:rsid w:val="00871894"/>
    <w:rPr>
      <w:rFonts w:cs="Times New Roman"/>
      <w:color w:val="0000FF"/>
      <w:u w:val="single"/>
    </w:rPr>
  </w:style>
  <w:style w:type="paragraph" w:customStyle="1" w:styleId="af9">
    <w:name w:val="Акт Список"/>
    <w:basedOn w:val="af6"/>
    <w:uiPriority w:val="99"/>
    <w:rsid w:val="002720F9"/>
    <w:pPr>
      <w:ind w:left="1276" w:hanging="283"/>
    </w:pPr>
  </w:style>
  <w:style w:type="paragraph" w:styleId="afa">
    <w:name w:val="TOC Heading"/>
    <w:basedOn w:val="1"/>
    <w:next w:val="a"/>
    <w:uiPriority w:val="39"/>
    <w:unhideWhenUsed/>
    <w:qFormat/>
    <w:rsid w:val="0054610D"/>
    <w:pPr>
      <w:keepNext/>
      <w:keepLines/>
      <w:tabs>
        <w:tab w:val="clear" w:pos="426"/>
      </w:tabs>
      <w:spacing w:before="240" w:line="259" w:lineRule="auto"/>
      <w:ind w:right="0"/>
      <w:jc w:val="left"/>
      <w:outlineLvl w:val="9"/>
    </w:pPr>
    <w:rPr>
      <w:rFonts w:ascii="Calibri Light" w:hAnsi="Calibri Light"/>
      <w:b w:val="0"/>
      <w:bCs w:val="0"/>
      <w:color w:val="2F5496"/>
      <w:kern w:val="0"/>
      <w:sz w:val="32"/>
      <w:szCs w:val="32"/>
    </w:rPr>
  </w:style>
  <w:style w:type="paragraph" w:styleId="32">
    <w:name w:val="toc 3"/>
    <w:basedOn w:val="a"/>
    <w:next w:val="a"/>
    <w:autoRedefine/>
    <w:uiPriority w:val="39"/>
    <w:locked/>
    <w:rsid w:val="0054610D"/>
    <w:pPr>
      <w:ind w:left="440"/>
    </w:pPr>
  </w:style>
  <w:style w:type="character" w:customStyle="1" w:styleId="40">
    <w:name w:val="Заголовок 4 Знак"/>
    <w:link w:val="4"/>
    <w:rsid w:val="00795AD0"/>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769882">
      <w:marLeft w:val="0"/>
      <w:marRight w:val="0"/>
      <w:marTop w:val="0"/>
      <w:marBottom w:val="0"/>
      <w:divBdr>
        <w:top w:val="none" w:sz="0" w:space="0" w:color="auto"/>
        <w:left w:val="none" w:sz="0" w:space="0" w:color="auto"/>
        <w:bottom w:val="none" w:sz="0" w:space="0" w:color="auto"/>
        <w:right w:val="none" w:sz="0" w:space="0" w:color="auto"/>
      </w:divBdr>
    </w:div>
    <w:div w:id="566769883">
      <w:marLeft w:val="0"/>
      <w:marRight w:val="0"/>
      <w:marTop w:val="0"/>
      <w:marBottom w:val="0"/>
      <w:divBdr>
        <w:top w:val="none" w:sz="0" w:space="0" w:color="auto"/>
        <w:left w:val="none" w:sz="0" w:space="0" w:color="auto"/>
        <w:bottom w:val="none" w:sz="0" w:space="0" w:color="auto"/>
        <w:right w:val="none" w:sz="0" w:space="0" w:color="auto"/>
      </w:divBdr>
    </w:div>
    <w:div w:id="566769884">
      <w:marLeft w:val="0"/>
      <w:marRight w:val="0"/>
      <w:marTop w:val="0"/>
      <w:marBottom w:val="0"/>
      <w:divBdr>
        <w:top w:val="none" w:sz="0" w:space="0" w:color="auto"/>
        <w:left w:val="none" w:sz="0" w:space="0" w:color="auto"/>
        <w:bottom w:val="none" w:sz="0" w:space="0" w:color="auto"/>
        <w:right w:val="none" w:sz="0" w:space="0" w:color="auto"/>
      </w:divBdr>
    </w:div>
    <w:div w:id="566769885">
      <w:marLeft w:val="0"/>
      <w:marRight w:val="0"/>
      <w:marTop w:val="0"/>
      <w:marBottom w:val="0"/>
      <w:divBdr>
        <w:top w:val="none" w:sz="0" w:space="0" w:color="auto"/>
        <w:left w:val="none" w:sz="0" w:space="0" w:color="auto"/>
        <w:bottom w:val="none" w:sz="0" w:space="0" w:color="auto"/>
        <w:right w:val="none" w:sz="0" w:space="0" w:color="auto"/>
      </w:divBdr>
    </w:div>
    <w:div w:id="566769886">
      <w:marLeft w:val="0"/>
      <w:marRight w:val="0"/>
      <w:marTop w:val="0"/>
      <w:marBottom w:val="0"/>
      <w:divBdr>
        <w:top w:val="none" w:sz="0" w:space="0" w:color="auto"/>
        <w:left w:val="none" w:sz="0" w:space="0" w:color="auto"/>
        <w:bottom w:val="none" w:sz="0" w:space="0" w:color="auto"/>
        <w:right w:val="none" w:sz="0" w:space="0" w:color="auto"/>
      </w:divBdr>
    </w:div>
    <w:div w:id="566769887">
      <w:marLeft w:val="0"/>
      <w:marRight w:val="0"/>
      <w:marTop w:val="0"/>
      <w:marBottom w:val="0"/>
      <w:divBdr>
        <w:top w:val="none" w:sz="0" w:space="0" w:color="auto"/>
        <w:left w:val="none" w:sz="0" w:space="0" w:color="auto"/>
        <w:bottom w:val="none" w:sz="0" w:space="0" w:color="auto"/>
        <w:right w:val="none" w:sz="0" w:space="0" w:color="auto"/>
      </w:divBdr>
    </w:div>
    <w:div w:id="566769888">
      <w:marLeft w:val="0"/>
      <w:marRight w:val="0"/>
      <w:marTop w:val="0"/>
      <w:marBottom w:val="0"/>
      <w:divBdr>
        <w:top w:val="none" w:sz="0" w:space="0" w:color="auto"/>
        <w:left w:val="none" w:sz="0" w:space="0" w:color="auto"/>
        <w:bottom w:val="none" w:sz="0" w:space="0" w:color="auto"/>
        <w:right w:val="none" w:sz="0" w:space="0" w:color="auto"/>
      </w:divBdr>
    </w:div>
    <w:div w:id="566769889">
      <w:marLeft w:val="0"/>
      <w:marRight w:val="0"/>
      <w:marTop w:val="0"/>
      <w:marBottom w:val="0"/>
      <w:divBdr>
        <w:top w:val="none" w:sz="0" w:space="0" w:color="auto"/>
        <w:left w:val="none" w:sz="0" w:space="0" w:color="auto"/>
        <w:bottom w:val="none" w:sz="0" w:space="0" w:color="auto"/>
        <w:right w:val="none" w:sz="0" w:space="0" w:color="auto"/>
      </w:divBdr>
    </w:div>
    <w:div w:id="566769890">
      <w:marLeft w:val="0"/>
      <w:marRight w:val="0"/>
      <w:marTop w:val="0"/>
      <w:marBottom w:val="0"/>
      <w:divBdr>
        <w:top w:val="none" w:sz="0" w:space="0" w:color="auto"/>
        <w:left w:val="none" w:sz="0" w:space="0" w:color="auto"/>
        <w:bottom w:val="none" w:sz="0" w:space="0" w:color="auto"/>
        <w:right w:val="none" w:sz="0" w:space="0" w:color="auto"/>
      </w:divBdr>
    </w:div>
    <w:div w:id="566769891">
      <w:marLeft w:val="0"/>
      <w:marRight w:val="0"/>
      <w:marTop w:val="0"/>
      <w:marBottom w:val="0"/>
      <w:divBdr>
        <w:top w:val="none" w:sz="0" w:space="0" w:color="auto"/>
        <w:left w:val="none" w:sz="0" w:space="0" w:color="auto"/>
        <w:bottom w:val="none" w:sz="0" w:space="0" w:color="auto"/>
        <w:right w:val="none" w:sz="0" w:space="0" w:color="auto"/>
      </w:divBdr>
    </w:div>
    <w:div w:id="566769892">
      <w:marLeft w:val="0"/>
      <w:marRight w:val="0"/>
      <w:marTop w:val="0"/>
      <w:marBottom w:val="0"/>
      <w:divBdr>
        <w:top w:val="none" w:sz="0" w:space="0" w:color="auto"/>
        <w:left w:val="none" w:sz="0" w:space="0" w:color="auto"/>
        <w:bottom w:val="none" w:sz="0" w:space="0" w:color="auto"/>
        <w:right w:val="none" w:sz="0" w:space="0" w:color="auto"/>
      </w:divBdr>
    </w:div>
    <w:div w:id="566769893">
      <w:marLeft w:val="0"/>
      <w:marRight w:val="0"/>
      <w:marTop w:val="0"/>
      <w:marBottom w:val="0"/>
      <w:divBdr>
        <w:top w:val="none" w:sz="0" w:space="0" w:color="auto"/>
        <w:left w:val="none" w:sz="0" w:space="0" w:color="auto"/>
        <w:bottom w:val="none" w:sz="0" w:space="0" w:color="auto"/>
        <w:right w:val="none" w:sz="0" w:space="0" w:color="auto"/>
      </w:divBdr>
    </w:div>
    <w:div w:id="566769894">
      <w:marLeft w:val="0"/>
      <w:marRight w:val="0"/>
      <w:marTop w:val="0"/>
      <w:marBottom w:val="0"/>
      <w:divBdr>
        <w:top w:val="none" w:sz="0" w:space="0" w:color="auto"/>
        <w:left w:val="none" w:sz="0" w:space="0" w:color="auto"/>
        <w:bottom w:val="none" w:sz="0" w:space="0" w:color="auto"/>
        <w:right w:val="none" w:sz="0" w:space="0" w:color="auto"/>
      </w:divBdr>
    </w:div>
    <w:div w:id="566769895">
      <w:marLeft w:val="0"/>
      <w:marRight w:val="0"/>
      <w:marTop w:val="0"/>
      <w:marBottom w:val="0"/>
      <w:divBdr>
        <w:top w:val="none" w:sz="0" w:space="0" w:color="auto"/>
        <w:left w:val="none" w:sz="0" w:space="0" w:color="auto"/>
        <w:bottom w:val="none" w:sz="0" w:space="0" w:color="auto"/>
        <w:right w:val="none" w:sz="0" w:space="0" w:color="auto"/>
      </w:divBdr>
    </w:div>
    <w:div w:id="566769896">
      <w:marLeft w:val="0"/>
      <w:marRight w:val="0"/>
      <w:marTop w:val="0"/>
      <w:marBottom w:val="0"/>
      <w:divBdr>
        <w:top w:val="none" w:sz="0" w:space="0" w:color="auto"/>
        <w:left w:val="none" w:sz="0" w:space="0" w:color="auto"/>
        <w:bottom w:val="none" w:sz="0" w:space="0" w:color="auto"/>
        <w:right w:val="none" w:sz="0" w:space="0" w:color="auto"/>
      </w:divBdr>
    </w:div>
    <w:div w:id="566769897">
      <w:marLeft w:val="0"/>
      <w:marRight w:val="0"/>
      <w:marTop w:val="0"/>
      <w:marBottom w:val="0"/>
      <w:divBdr>
        <w:top w:val="none" w:sz="0" w:space="0" w:color="auto"/>
        <w:left w:val="none" w:sz="0" w:space="0" w:color="auto"/>
        <w:bottom w:val="none" w:sz="0" w:space="0" w:color="auto"/>
        <w:right w:val="none" w:sz="0" w:space="0" w:color="auto"/>
      </w:divBdr>
    </w:div>
    <w:div w:id="566769898">
      <w:marLeft w:val="0"/>
      <w:marRight w:val="0"/>
      <w:marTop w:val="0"/>
      <w:marBottom w:val="0"/>
      <w:divBdr>
        <w:top w:val="none" w:sz="0" w:space="0" w:color="auto"/>
        <w:left w:val="none" w:sz="0" w:space="0" w:color="auto"/>
        <w:bottom w:val="none" w:sz="0" w:space="0" w:color="auto"/>
        <w:right w:val="none" w:sz="0" w:space="0" w:color="auto"/>
      </w:divBdr>
    </w:div>
    <w:div w:id="566769899">
      <w:marLeft w:val="0"/>
      <w:marRight w:val="0"/>
      <w:marTop w:val="0"/>
      <w:marBottom w:val="0"/>
      <w:divBdr>
        <w:top w:val="none" w:sz="0" w:space="0" w:color="auto"/>
        <w:left w:val="none" w:sz="0" w:space="0" w:color="auto"/>
        <w:bottom w:val="none" w:sz="0" w:space="0" w:color="auto"/>
        <w:right w:val="none" w:sz="0" w:space="0" w:color="auto"/>
      </w:divBdr>
    </w:div>
    <w:div w:id="1483546055">
      <w:bodyDiv w:val="1"/>
      <w:marLeft w:val="0"/>
      <w:marRight w:val="0"/>
      <w:marTop w:val="0"/>
      <w:marBottom w:val="0"/>
      <w:divBdr>
        <w:top w:val="none" w:sz="0" w:space="0" w:color="auto"/>
        <w:left w:val="none" w:sz="0" w:space="0" w:color="auto"/>
        <w:bottom w:val="none" w:sz="0" w:space="0" w:color="auto"/>
        <w:right w:val="none" w:sz="0" w:space="0" w:color="auto"/>
      </w:divBdr>
    </w:div>
    <w:div w:id="206467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consultantplus://offline/ref=17B7F6F7B64CBC740447B9BCE4A01EF12155763ED72E3E697EB7F68B608CACC5F9C2D5072BED63A9698D7FtDSA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F5112AB6626B1DAE30EFE5EC635846CB476258304978904270A149D802AD6AA47D88C84E2835427DD3765917CA44F3F637E8F14923D46C6GFwF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5112AB6626B1DAE30EFE5EC635846CB476258304978904270A149D802AD6AA47D88C84E2835427DD3765917CA44F3F637E8F14923D46C6GFwF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oleObject" Target="file:///D:\&#1057;&#1083;&#1091;&#1078;&#1077;&#1073;&#1085;&#1099;&#1077;\&#1054;&#1090;&#1095;&#1077;&#1090;%202019\&#1041;&#1072;&#1079;&#1072;.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1057;&#1083;&#1091;&#1078;&#1077;&#1073;&#1085;&#1099;&#1077;\&#1054;&#1090;&#1095;&#1077;&#1090;%202019\&#1041;&#1072;&#1079;&#1072;.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21"/>
      <c:rAngAx val="0"/>
    </c:view3D>
    <c:floor>
      <c:thickness val="0"/>
    </c:floor>
    <c:sideWall>
      <c:thickness val="0"/>
    </c:sideWall>
    <c:backWall>
      <c:thickness val="0"/>
    </c:backWall>
    <c:plotArea>
      <c:layout>
        <c:manualLayout>
          <c:layoutTarget val="inner"/>
          <c:xMode val="edge"/>
          <c:yMode val="edge"/>
          <c:x val="0.14496372364100876"/>
          <c:y val="9.2622170100980037E-3"/>
          <c:w val="0.6005803645173724"/>
          <c:h val="0.93721967207375922"/>
        </c:manualLayout>
      </c:layout>
      <c:pie3DChart>
        <c:varyColors val="1"/>
        <c:ser>
          <c:idx val="0"/>
          <c:order val="0"/>
          <c:explosion val="24"/>
          <c:dLbls>
            <c:dLbl>
              <c:idx val="0"/>
              <c:tx>
                <c:rich>
                  <a:bodyPr/>
                  <a:lstStyle/>
                  <a:p>
                    <a:r>
                      <a:rPr lang="ru-RU"/>
                      <a:t>Поручения Мурманской </a:t>
                    </a:r>
                    <a:r>
                      <a:rPr lang="ru-RU" u="sng"/>
                      <a:t>областной Думы </a:t>
                    </a:r>
                    <a:r>
                      <a:rPr lang="ru-RU"/>
                      <a:t>13 мероприятий</a:t>
                    </a:r>
                  </a:p>
                </c:rich>
              </c:tx>
              <c:showLegendKey val="0"/>
              <c:showVal val="0"/>
              <c:showCatName val="0"/>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0-69AA-475C-B97F-F2FF16C8D64D}"/>
                </c:ext>
              </c:extLst>
            </c:dLbl>
            <c:dLbl>
              <c:idx val="1"/>
              <c:tx>
                <c:rich>
                  <a:bodyPr/>
                  <a:lstStyle/>
                  <a:p>
                    <a:r>
                      <a:rPr lang="ru-RU"/>
                      <a:t>Реализация </a:t>
                    </a:r>
                    <a:r>
                      <a:rPr lang="ru-RU" u="sng"/>
                      <a:t>полномочий  </a:t>
                    </a:r>
                    <a:r>
                      <a:rPr lang="ru-RU"/>
                      <a:t>       19 мероприятий</a:t>
                    </a:r>
                  </a:p>
                </c:rich>
              </c:tx>
              <c:showLegendKey val="0"/>
              <c:showVal val="0"/>
              <c:showCatName val="0"/>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69AA-475C-B97F-F2FF16C8D64D}"/>
                </c:ext>
              </c:extLst>
            </c:dLbl>
            <c:dLbl>
              <c:idx val="2"/>
              <c:tx>
                <c:rich>
                  <a:bodyPr/>
                  <a:lstStyle/>
                  <a:p>
                    <a:r>
                      <a:rPr lang="ru-RU" sz="900"/>
                      <a:t>Требования </a:t>
                    </a:r>
                    <a:r>
                      <a:rPr lang="ru-RU" sz="900" u="sng"/>
                      <a:t>законодательства  </a:t>
                    </a:r>
                    <a:r>
                      <a:rPr lang="ru-RU"/>
                      <a:t>13 мероприятий</a:t>
                    </a:r>
                  </a:p>
                </c:rich>
              </c:tx>
              <c:showLegendKey val="0"/>
              <c:showVal val="0"/>
              <c:showCatName val="0"/>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2-69AA-475C-B97F-F2FF16C8D64D}"/>
                </c:ext>
              </c:extLst>
            </c:dLbl>
            <c:spPr>
              <a:noFill/>
              <a:ln>
                <a:noFill/>
              </a:ln>
              <a:effectLst/>
            </c:spPr>
            <c:showLegendKey val="0"/>
            <c:showVal val="0"/>
            <c:showCatName val="0"/>
            <c:showSerName val="0"/>
            <c:showPercent val="1"/>
            <c:showBubbleSize val="0"/>
            <c:separator> </c:separator>
            <c:showLeaderLines val="1"/>
            <c:extLst>
              <c:ext xmlns:c15="http://schemas.microsoft.com/office/drawing/2012/chart" uri="{CE6537A1-D6FC-4f65-9D91-7224C49458BB}"/>
            </c:extLst>
          </c:dLbls>
          <c:cat>
            <c:strRef>
              <c:f>Лист4!$C$35:$C$37</c:f>
              <c:strCache>
                <c:ptCount val="3"/>
                <c:pt idx="0">
                  <c:v>Поручения мурманской областной Думы </c:v>
                </c:pt>
                <c:pt idx="1">
                  <c:v>Требования законодательства  </c:v>
                </c:pt>
                <c:pt idx="2">
                  <c:v>Реализация полномочий </c:v>
                </c:pt>
              </c:strCache>
            </c:strRef>
          </c:cat>
          <c:val>
            <c:numRef>
              <c:f>Лист4!$D$35:$D$37</c:f>
              <c:numCache>
                <c:formatCode>General</c:formatCode>
                <c:ptCount val="3"/>
                <c:pt idx="0">
                  <c:v>13</c:v>
                </c:pt>
                <c:pt idx="1">
                  <c:v>13</c:v>
                </c:pt>
                <c:pt idx="2">
                  <c:v>19</c:v>
                </c:pt>
              </c:numCache>
            </c:numRef>
          </c:val>
          <c:extLst>
            <c:ext xmlns:c16="http://schemas.microsoft.com/office/drawing/2014/chart" uri="{C3380CC4-5D6E-409C-BE32-E72D297353CC}">
              <c16:uniqueId val="{00000003-69AA-475C-B97F-F2FF16C8D64D}"/>
            </c:ext>
          </c:extLst>
        </c:ser>
        <c:dLbls>
          <c:showLegendKey val="0"/>
          <c:showVal val="1"/>
          <c:showCatName val="0"/>
          <c:showSerName val="0"/>
          <c:showPercent val="0"/>
          <c:showBubbleSize val="0"/>
          <c:showLeaderLines val="1"/>
        </c:dLbls>
      </c:pie3DChart>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207"/>
      <c:rAngAx val="0"/>
      <c:perspective val="50"/>
    </c:view3D>
    <c:floor>
      <c:thickness val="0"/>
    </c:floor>
    <c:sideWall>
      <c:thickness val="0"/>
    </c:sideWall>
    <c:backWall>
      <c:thickness val="0"/>
    </c:backWall>
    <c:plotArea>
      <c:layout/>
      <c:pie3DChart>
        <c:varyColors val="1"/>
        <c:ser>
          <c:idx val="0"/>
          <c:order val="0"/>
          <c:explosion val="39"/>
          <c:dLbls>
            <c:spPr>
              <a:noFill/>
              <a:ln>
                <a:noFill/>
              </a:ln>
              <a:effectLst/>
            </c:spPr>
            <c:showLegendKey val="0"/>
            <c:showVal val="1"/>
            <c:showCatName val="1"/>
            <c:showSerName val="0"/>
            <c:showPercent val="0"/>
            <c:showBubbleSize val="0"/>
            <c:separator> </c:separator>
            <c:showLeaderLines val="1"/>
            <c:extLst>
              <c:ext xmlns:c15="http://schemas.microsoft.com/office/drawing/2012/chart" uri="{CE6537A1-D6FC-4f65-9D91-7224C49458BB}"/>
            </c:extLst>
          </c:dLbls>
          <c:cat>
            <c:strRef>
              <c:f>'Лист3 (3)'!$A$29:$A$38</c:f>
              <c:strCache>
                <c:ptCount val="10"/>
                <c:pt idx="0">
                  <c:v>Общегосударственные вопросы </c:v>
                </c:pt>
                <c:pt idx="1">
                  <c:v>Образование </c:v>
                </c:pt>
                <c:pt idx="2">
                  <c:v>Охрана окружающей среды</c:v>
                </c:pt>
                <c:pt idx="3">
                  <c:v>Жилищно-коммунальное хозяйство </c:v>
                </c:pt>
                <c:pt idx="4">
                  <c:v>Здравоохранение </c:v>
                </c:pt>
                <c:pt idx="5">
                  <c:v>Культура, кинематография </c:v>
                </c:pt>
                <c:pt idx="6">
                  <c:v>Национальная безопасность и правоохранительная деятельность </c:v>
                </c:pt>
                <c:pt idx="7">
                  <c:v>Национальная экономика </c:v>
                </c:pt>
                <c:pt idx="8">
                  <c:v>Социальная политика </c:v>
                </c:pt>
                <c:pt idx="9">
                  <c:v>Физическая культура и спорт </c:v>
                </c:pt>
              </c:strCache>
            </c:strRef>
          </c:cat>
          <c:val>
            <c:numRef>
              <c:f>'Лист3 (3)'!$B$29:$B$38</c:f>
              <c:numCache>
                <c:formatCode>0.0%</c:formatCode>
                <c:ptCount val="10"/>
                <c:pt idx="0">
                  <c:v>0.16700000000000001</c:v>
                </c:pt>
                <c:pt idx="1">
                  <c:v>4.2000000000000003E-2</c:v>
                </c:pt>
                <c:pt idx="2">
                  <c:v>4.2000000000000003E-2</c:v>
                </c:pt>
                <c:pt idx="3">
                  <c:v>0.16700000000000001</c:v>
                </c:pt>
                <c:pt idx="4">
                  <c:v>0.125</c:v>
                </c:pt>
                <c:pt idx="5">
                  <c:v>4.2000000000000003E-2</c:v>
                </c:pt>
                <c:pt idx="6">
                  <c:v>4.2000000000000003E-2</c:v>
                </c:pt>
                <c:pt idx="7">
                  <c:v>0.20799999999999999</c:v>
                </c:pt>
                <c:pt idx="8">
                  <c:v>8.3000000000000004E-2</c:v>
                </c:pt>
                <c:pt idx="9">
                  <c:v>8.3000000000000004E-2</c:v>
                </c:pt>
              </c:numCache>
            </c:numRef>
          </c:val>
          <c:extLst>
            <c:ext xmlns:c16="http://schemas.microsoft.com/office/drawing/2014/chart" uri="{C3380CC4-5D6E-409C-BE32-E72D297353CC}">
              <c16:uniqueId val="{00000000-0EA3-4F3F-AF7C-E369F7B4FB84}"/>
            </c:ext>
          </c:extLst>
        </c:ser>
        <c:dLbls>
          <c:showLegendKey val="0"/>
          <c:showVal val="1"/>
          <c:showCatName val="0"/>
          <c:showSerName val="0"/>
          <c:showPercent val="0"/>
          <c:showBubbleSize val="0"/>
          <c:showLeaderLines val="1"/>
        </c:dLbls>
      </c:pie3DChart>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280"/>
      <c:rAngAx val="0"/>
    </c:view3D>
    <c:floor>
      <c:thickness val="0"/>
    </c:floor>
    <c:sideWall>
      <c:thickness val="0"/>
    </c:sideWall>
    <c:backWall>
      <c:thickness val="0"/>
    </c:backWall>
    <c:plotArea>
      <c:layout/>
      <c:pie3DChart>
        <c:varyColors val="1"/>
        <c:ser>
          <c:idx val="0"/>
          <c:order val="0"/>
          <c:explosion val="36"/>
          <c:dLbls>
            <c:spPr>
              <a:noFill/>
              <a:ln>
                <a:noFill/>
              </a:ln>
              <a:effectLst/>
            </c:spPr>
            <c:showLegendKey val="0"/>
            <c:showVal val="1"/>
            <c:showCatName val="1"/>
            <c:showSerName val="0"/>
            <c:showPercent val="0"/>
            <c:showBubbleSize val="0"/>
            <c:separator> </c:separator>
            <c:showLeaderLines val="1"/>
            <c:extLst>
              <c:ext xmlns:c15="http://schemas.microsoft.com/office/drawing/2012/chart" uri="{CE6537A1-D6FC-4f65-9D91-7224C49458BB}"/>
            </c:extLst>
          </c:dLbls>
          <c:cat>
            <c:strRef>
              <c:f>'Лист2 (4)'!$A$42:$A$48</c:f>
              <c:strCache>
                <c:ptCount val="6"/>
                <c:pt idx="0">
                  <c:v>Нарушения при формировании и исполнении бюджетов</c:v>
                </c:pt>
                <c:pt idx="1">
                  <c:v>Нарушения ведения бухгалтерского учета, составления и представления бухгалтерской отчетности</c:v>
                </c:pt>
                <c:pt idx="2">
                  <c:v>Нарушения в сфере управления и распоряжения государственной собственностью</c:v>
                </c:pt>
                <c:pt idx="3">
                  <c:v>Иные нарушения</c:v>
                </c:pt>
                <c:pt idx="4">
                  <c:v>Нарушения при осуществлении государственных закупок</c:v>
                </c:pt>
                <c:pt idx="5">
                  <c:v>Нецелевое использование бюджетных средств</c:v>
                </c:pt>
              </c:strCache>
            </c:strRef>
          </c:cat>
          <c:val>
            <c:numRef>
              <c:f>'Лист2 (4)'!$B$42:$B$48</c:f>
              <c:numCache>
                <c:formatCode>0.0%</c:formatCode>
                <c:ptCount val="7"/>
                <c:pt idx="0">
                  <c:v>0.45318352059925093</c:v>
                </c:pt>
                <c:pt idx="1">
                  <c:v>3.7453183520599252E-2</c:v>
                </c:pt>
                <c:pt idx="2">
                  <c:v>0.3707865168539326</c:v>
                </c:pt>
                <c:pt idx="3">
                  <c:v>1.1235955056179775E-2</c:v>
                </c:pt>
                <c:pt idx="4">
                  <c:v>0.12359550561797752</c:v>
                </c:pt>
                <c:pt idx="5">
                  <c:v>3.7453183520599251E-3</c:v>
                </c:pt>
              </c:numCache>
            </c:numRef>
          </c:val>
          <c:extLst>
            <c:ext xmlns:c16="http://schemas.microsoft.com/office/drawing/2014/chart" uri="{C3380CC4-5D6E-409C-BE32-E72D297353CC}">
              <c16:uniqueId val="{00000000-C5E2-4E5C-BEA8-DDF9FE76F7FA}"/>
            </c:ext>
          </c:extLst>
        </c:ser>
        <c:dLbls>
          <c:showLegendKey val="0"/>
          <c:showVal val="1"/>
          <c:showCatName val="0"/>
          <c:showSerName val="0"/>
          <c:showPercent val="0"/>
          <c:showBubbleSize val="0"/>
          <c:showLeaderLines val="1"/>
        </c:dLbls>
      </c:pie3DChart>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FCA74-DFB8-441A-8775-508544696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53</Pages>
  <Words>22891</Words>
  <Characters>130483</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Елена Белоконь</cp:lastModifiedBy>
  <cp:revision>60</cp:revision>
  <cp:lastPrinted>2020-02-28T12:46:00Z</cp:lastPrinted>
  <dcterms:created xsi:type="dcterms:W3CDTF">2020-02-26T13:52:00Z</dcterms:created>
  <dcterms:modified xsi:type="dcterms:W3CDTF">2020-03-04T09:12:00Z</dcterms:modified>
</cp:coreProperties>
</file>